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13</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418433</w:t>
      </w:r>
    </w:p>
    <w:p>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pStyle w:val="16"/>
        <w:tabs>
          <w:tab w:val="right" w:pos="9781"/>
          <w:tab w:val="right" w:pos="13323"/>
          <w:tab w:val="clear" w:pos="4153"/>
          <w:tab w:val="clear" w:pos="8306"/>
        </w:tabs>
        <w:spacing w:before="60" w:after="60"/>
        <w:outlineLvl w:val="9"/>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7.23.4.2</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bookmarkStart w:id="8" w:name="_GoBack"/>
      <w:bookmarkEnd w:id="8"/>
      <w:r>
        <w:rPr>
          <w:rFonts w:hint="eastAsia"/>
          <w:sz w:val="22"/>
        </w:rPr>
        <w:t>Discussion on RRM impact of LP-WUR</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spacing w:before="60"/>
        <w:jc w:val="both"/>
        <w:rPr>
          <w:rFonts w:hint="default"/>
          <w:sz w:val="20"/>
          <w:szCs w:val="20"/>
          <w:lang w:val="en-US" w:eastAsia="zh-CN"/>
        </w:rPr>
      </w:pPr>
      <w:r>
        <w:rPr>
          <w:rFonts w:hint="eastAsia"/>
          <w:sz w:val="20"/>
          <w:szCs w:val="20"/>
          <w:lang w:val="en-US" w:eastAsia="zh-CN"/>
        </w:rPr>
        <w:t>In last meeting, RAN4 further discussed some general issues and the requirement assumption. The WF has been approved in [1]. In this contribution, we further analyze the RRM impact of LP-WUR based on the progress of RAN1 and RAN2, and provide our proposals.</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1"/>
      <w:bookmarkStart w:id="6" w:name="OLE_LINK2"/>
      <w:r>
        <w:rPr>
          <w:rFonts w:hint="eastAsia" w:ascii="Times New Roman" w:hAnsi="Times New Roman"/>
          <w:b w:val="0"/>
          <w:bCs w:val="0"/>
          <w:kern w:val="0"/>
          <w:sz w:val="36"/>
          <w:szCs w:val="36"/>
          <w:lang w:val="en-US" w:eastAsia="zh-CN"/>
        </w:rPr>
        <w:t>Discussion</w:t>
      </w:r>
      <w:bookmarkStart w:id="7" w:name="_Hlk70326378"/>
    </w:p>
    <w:p>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1-1-1: Cases/states to be considered for RRM relaxation and serving cell measurement offloading</w:t>
      </w:r>
    </w:p>
    <w:p>
      <w:pPr>
        <w:keepNext w:val="0"/>
        <w:keepLines w:val="0"/>
        <w:pageBreakBefore w:val="0"/>
        <w:widowControl/>
        <w:kinsoku/>
        <w:wordWrap/>
        <w:overflowPunct/>
        <w:topLinePunct w:val="0"/>
        <w:autoSpaceDE/>
        <w:autoSpaceDN/>
        <w:bidi w:val="0"/>
        <w:adjustRightInd/>
        <w:snapToGrid w:val="0"/>
        <w:spacing w:after="60"/>
        <w:textAlignment w:val="auto"/>
        <w:rPr>
          <w:b w:val="0"/>
          <w:bCs w:val="0"/>
          <w:i/>
          <w:iCs/>
          <w:color w:val="000000"/>
          <w:sz w:val="20"/>
          <w:szCs w:val="20"/>
          <w:highlight w:val="green"/>
          <w:lang w:val="en-US" w:eastAsia="zh-CN"/>
        </w:rPr>
      </w:pPr>
      <w:r>
        <w:rPr>
          <w:b w:val="0"/>
          <w:bCs w:val="0"/>
          <w:i/>
          <w:iCs/>
          <w:color w:val="000000"/>
          <w:sz w:val="20"/>
          <w:szCs w:val="20"/>
          <w:highlight w:val="green"/>
          <w:lang w:val="en-US" w:eastAsia="zh-CN"/>
        </w:rPr>
        <w:t>Background:</w:t>
      </w:r>
    </w:p>
    <w:p>
      <w:pPr>
        <w:keepNext w:val="0"/>
        <w:keepLines w:val="0"/>
        <w:pageBreakBefore w:val="0"/>
        <w:widowControl/>
        <w:kinsoku/>
        <w:wordWrap/>
        <w:overflowPunct/>
        <w:topLinePunct w:val="0"/>
        <w:autoSpaceDE/>
        <w:autoSpaceDN/>
        <w:bidi w:val="0"/>
        <w:adjustRightInd/>
        <w:snapToGrid/>
        <w:spacing w:after="60"/>
        <w:textAlignment w:val="auto"/>
        <w:rPr>
          <w:rFonts w:eastAsia="等线"/>
          <w:i/>
          <w:iCs/>
          <w:color w:val="000000" w:themeColor="text1"/>
          <w:sz w:val="20"/>
          <w:szCs w:val="20"/>
          <w:lang w:eastAsia="zh-CN"/>
          <w14:textFill>
            <w14:solidFill>
              <w14:schemeClr w14:val="tx1"/>
            </w14:solidFill>
          </w14:textFill>
        </w:rPr>
      </w:pPr>
      <w:r>
        <w:rPr>
          <w:rFonts w:eastAsia="等线"/>
          <w:i/>
          <w:iCs/>
          <w:color w:val="000000" w:themeColor="text1"/>
          <w:sz w:val="20"/>
          <w:szCs w:val="20"/>
          <w:lang w:eastAsia="zh-CN"/>
          <w14:textFill>
            <w14:solidFill>
              <w14:schemeClr w14:val="tx1"/>
            </w14:solidFill>
          </w14:textFill>
        </w:rPr>
        <w:t xml:space="preserve">Case #1 and </w:t>
      </w:r>
      <w:r>
        <w:rPr>
          <w:rFonts w:eastAsia="Malgun Gothic"/>
          <w:i/>
          <w:iCs/>
          <w:color w:val="000000" w:themeColor="text1"/>
          <w:sz w:val="20"/>
          <w:szCs w:val="20"/>
          <w:lang w:val="en-US" w:eastAsia="ko-KR"/>
          <w14:textFill>
            <w14:solidFill>
              <w14:schemeClr w14:val="tx1"/>
            </w14:solidFill>
          </w14:textFill>
        </w:rPr>
        <w:t>#3 have been agreed</w:t>
      </w:r>
    </w:p>
    <w:tbl>
      <w:tblPr>
        <w:tblStyle w:val="20"/>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559"/>
        <w:gridCol w:w="1843"/>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after="0" w:line="256" w:lineRule="auto"/>
              <w:rPr>
                <w:rFonts w:eastAsia="Malgun Gothic"/>
                <w:b/>
                <w:bCs/>
                <w:i/>
                <w:iCs/>
                <w:color w:val="000000" w:themeColor="text1"/>
                <w:sz w:val="18"/>
                <w:szCs w:val="18"/>
                <w:lang w:val="en-US" w:eastAsia="ko-KR"/>
                <w14:textFill>
                  <w14:solidFill>
                    <w14:schemeClr w14:val="tx1"/>
                  </w14:solidFill>
                </w14:textFill>
              </w:rPr>
            </w:pPr>
            <w:r>
              <w:rPr>
                <w:rFonts w:eastAsia="Malgun Gothic"/>
                <w:b/>
                <w:bCs/>
                <w:i/>
                <w:iCs/>
                <w:color w:val="000000" w:themeColor="text1"/>
                <w:sz w:val="18"/>
                <w:szCs w:val="18"/>
                <w:lang w:val="en-US" w:eastAsia="ko-KR"/>
                <w14:textFill>
                  <w14:solidFill>
                    <w14:schemeClr w14:val="tx1"/>
                  </w14:solidFill>
                </w14:textFill>
              </w:rPr>
              <w:t>RRM measurement case index</w:t>
            </w:r>
          </w:p>
        </w:tc>
        <w:tc>
          <w:tcPr>
            <w:tcW w:w="1559" w:type="dxa"/>
          </w:tcPr>
          <w:p>
            <w:pPr>
              <w:spacing w:after="0" w:line="256" w:lineRule="auto"/>
              <w:rPr>
                <w:rFonts w:eastAsia="Malgun Gothic"/>
                <w:b/>
                <w:bCs/>
                <w:i/>
                <w:iCs/>
                <w:color w:val="000000" w:themeColor="text1"/>
                <w:sz w:val="18"/>
                <w:szCs w:val="18"/>
                <w:lang w:val="en-US" w:eastAsia="ko-KR"/>
                <w14:textFill>
                  <w14:solidFill>
                    <w14:schemeClr w14:val="tx1"/>
                  </w14:solidFill>
                </w14:textFill>
              </w:rPr>
            </w:pPr>
            <w:r>
              <w:rPr>
                <w:rFonts w:eastAsia="Malgun Gothic"/>
                <w:b/>
                <w:bCs/>
                <w:i/>
                <w:iCs/>
                <w:color w:val="000000" w:themeColor="text1"/>
                <w:sz w:val="18"/>
                <w:szCs w:val="18"/>
                <w:lang w:val="en-US" w:eastAsia="ko-KR"/>
                <w14:textFill>
                  <w14:solidFill>
                    <w14:schemeClr w14:val="tx1"/>
                  </w14:solidFill>
                </w14:textFill>
              </w:rPr>
              <w:t>MR serving cell measurement</w:t>
            </w:r>
          </w:p>
        </w:tc>
        <w:tc>
          <w:tcPr>
            <w:tcW w:w="1843" w:type="dxa"/>
          </w:tcPr>
          <w:p>
            <w:pPr>
              <w:spacing w:after="0" w:line="256" w:lineRule="auto"/>
              <w:rPr>
                <w:rFonts w:eastAsia="Malgun Gothic"/>
                <w:b/>
                <w:bCs/>
                <w:i/>
                <w:iCs/>
                <w:color w:val="000000" w:themeColor="text1"/>
                <w:sz w:val="18"/>
                <w:szCs w:val="18"/>
                <w:lang w:val="en-US" w:eastAsia="ko-KR"/>
                <w14:textFill>
                  <w14:solidFill>
                    <w14:schemeClr w14:val="tx1"/>
                  </w14:solidFill>
                </w14:textFill>
              </w:rPr>
            </w:pPr>
            <w:r>
              <w:rPr>
                <w:rFonts w:eastAsia="Malgun Gothic"/>
                <w:b/>
                <w:bCs/>
                <w:i/>
                <w:iCs/>
                <w:color w:val="000000" w:themeColor="text1"/>
                <w:sz w:val="18"/>
                <w:szCs w:val="18"/>
                <w:lang w:val="en-US" w:eastAsia="ko-KR"/>
                <w14:textFill>
                  <w14:solidFill>
                    <w14:schemeClr w14:val="tx1"/>
                  </w14:solidFill>
                </w14:textFill>
              </w:rPr>
              <w:t>MR neighboring cell measurement</w:t>
            </w:r>
          </w:p>
        </w:tc>
        <w:tc>
          <w:tcPr>
            <w:tcW w:w="1850" w:type="dxa"/>
          </w:tcPr>
          <w:p>
            <w:pPr>
              <w:spacing w:after="0" w:line="256" w:lineRule="auto"/>
              <w:rPr>
                <w:rFonts w:eastAsia="Malgun Gothic"/>
                <w:b/>
                <w:bCs/>
                <w:i/>
                <w:iCs/>
                <w:color w:val="000000" w:themeColor="text1"/>
                <w:sz w:val="18"/>
                <w:szCs w:val="18"/>
                <w:lang w:val="en-US" w:eastAsia="ko-KR"/>
                <w14:textFill>
                  <w14:solidFill>
                    <w14:schemeClr w14:val="tx1"/>
                  </w14:solidFill>
                </w14:textFill>
              </w:rPr>
            </w:pPr>
            <w:r>
              <w:rPr>
                <w:rFonts w:eastAsia="Malgun Gothic"/>
                <w:b/>
                <w:bCs/>
                <w:i/>
                <w:iCs/>
                <w:color w:val="000000" w:themeColor="text1"/>
                <w:sz w:val="18"/>
                <w:szCs w:val="18"/>
                <w:lang w:val="en-US" w:eastAsia="ko-KR"/>
                <w14:textFill>
                  <w14:solidFill>
                    <w14:schemeClr w14:val="tx1"/>
                  </w14:solidFill>
                </w14:textFill>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#1 Fully offloading case</w:t>
            </w:r>
          </w:p>
        </w:tc>
        <w:tc>
          <w:tcPr>
            <w:tcW w:w="1559" w:type="dxa"/>
          </w:tcPr>
          <w:p>
            <w:pPr>
              <w:spacing w:after="0" w:line="256" w:lineRule="auto"/>
              <w:jc w:val="both"/>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 xml:space="preserve">Off </w:t>
            </w:r>
          </w:p>
        </w:tc>
        <w:tc>
          <w:tcPr>
            <w:tcW w:w="1843"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Off: FFS the condition and the details</w:t>
            </w:r>
          </w:p>
        </w:tc>
        <w:tc>
          <w:tcPr>
            <w:tcW w:w="1850" w:type="dxa"/>
          </w:tcPr>
          <w:p>
            <w:pPr>
              <w:spacing w:after="0" w:line="256" w:lineRule="auto"/>
              <w:jc w:val="both"/>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Borders>
              <w:top w:val="single" w:color="auto" w:sz="4" w:space="0"/>
              <w:left w:val="single" w:color="auto" w:sz="4" w:space="0"/>
              <w:bottom w:val="single" w:color="auto" w:sz="4" w:space="0"/>
              <w:right w:val="single" w:color="auto" w:sz="4" w:space="0"/>
            </w:tcBorders>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#3 Relaxed case b</w:t>
            </w:r>
          </w:p>
        </w:tc>
        <w:tc>
          <w:tcPr>
            <w:tcW w:w="1559" w:type="dxa"/>
            <w:tcBorders>
              <w:top w:val="single" w:color="auto" w:sz="4" w:space="0"/>
              <w:left w:val="single" w:color="auto" w:sz="4" w:space="0"/>
              <w:bottom w:val="single" w:color="auto" w:sz="4" w:space="0"/>
              <w:right w:val="single" w:color="auto" w:sz="4" w:space="0"/>
            </w:tcBorders>
          </w:tcPr>
          <w:p>
            <w:pPr>
              <w:spacing w:after="0" w:line="256" w:lineRule="auto"/>
              <w:jc w:val="both"/>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On with relaxation measurement</w:t>
            </w:r>
          </w:p>
        </w:tc>
        <w:tc>
          <w:tcPr>
            <w:tcW w:w="1843" w:type="dxa"/>
            <w:tcBorders>
              <w:top w:val="single" w:color="auto" w:sz="4" w:space="0"/>
              <w:left w:val="single" w:color="auto" w:sz="4" w:space="0"/>
              <w:bottom w:val="single" w:color="auto" w:sz="4" w:space="0"/>
              <w:right w:val="single" w:color="auto" w:sz="4" w:space="0"/>
            </w:tcBorders>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On with relaxation measurement</w:t>
            </w:r>
          </w:p>
        </w:tc>
        <w:tc>
          <w:tcPr>
            <w:tcW w:w="1850" w:type="dxa"/>
            <w:tcBorders>
              <w:top w:val="single" w:color="auto" w:sz="4" w:space="0"/>
              <w:left w:val="single" w:color="auto" w:sz="4" w:space="0"/>
              <w:bottom w:val="single" w:color="auto" w:sz="4" w:space="0"/>
              <w:right w:val="single" w:color="auto" w:sz="4" w:space="0"/>
            </w:tcBorders>
          </w:tcPr>
          <w:p>
            <w:pPr>
              <w:spacing w:after="0" w:line="256" w:lineRule="auto"/>
              <w:jc w:val="both"/>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ON</w:t>
            </w:r>
          </w:p>
        </w:tc>
      </w:tr>
    </w:tbl>
    <w:p>
      <w:pPr>
        <w:keepNext w:val="0"/>
        <w:keepLines w:val="0"/>
        <w:pageBreakBefore w:val="0"/>
        <w:widowControl/>
        <w:kinsoku/>
        <w:wordWrap/>
        <w:overflowPunct/>
        <w:topLinePunct w:val="0"/>
        <w:autoSpaceDE/>
        <w:autoSpaceDN/>
        <w:bidi w:val="0"/>
        <w:adjustRightInd/>
        <w:snapToGrid/>
        <w:spacing w:after="60"/>
        <w:textAlignment w:val="auto"/>
        <w:rPr>
          <w:rFonts w:eastAsia="等线"/>
          <w:i/>
          <w:iCs/>
          <w:color w:val="000000" w:themeColor="text1"/>
          <w:sz w:val="20"/>
          <w:szCs w:val="20"/>
          <w:lang w:val="en-US" w:eastAsia="ko-KR"/>
          <w14:textFill>
            <w14:solidFill>
              <w14:schemeClr w14:val="tx1"/>
            </w14:solidFill>
          </w14:textFill>
        </w:rPr>
      </w:pPr>
      <w:r>
        <w:rPr>
          <w:rFonts w:eastAsia="等线"/>
          <w:i/>
          <w:iCs/>
          <w:color w:val="000000" w:themeColor="text1"/>
          <w:sz w:val="20"/>
          <w:szCs w:val="20"/>
          <w:lang w:val="en-US" w:eastAsia="ko-KR"/>
          <w14:textFill>
            <w14:solidFill>
              <w14:schemeClr w14:val="tx1"/>
            </w14:solidFill>
          </w14:textFill>
        </w:rPr>
        <w:t xml:space="preserve">RAN4 to further discuss case #2 </w:t>
      </w:r>
    </w:p>
    <w:tbl>
      <w:tblPr>
        <w:tblStyle w:val="20"/>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559"/>
        <w:gridCol w:w="1843"/>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RRM measurement case index</w:t>
            </w:r>
          </w:p>
        </w:tc>
        <w:tc>
          <w:tcPr>
            <w:tcW w:w="1559"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MR serving cell measurement</w:t>
            </w:r>
          </w:p>
        </w:tc>
        <w:tc>
          <w:tcPr>
            <w:tcW w:w="1843"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MR neighbouring cell measurement</w:t>
            </w:r>
          </w:p>
        </w:tc>
        <w:tc>
          <w:tcPr>
            <w:tcW w:w="1850" w:type="dxa"/>
          </w:tcPr>
          <w:p>
            <w:pPr>
              <w:spacing w:after="0" w:line="256" w:lineRule="auto"/>
              <w:jc w:val="both"/>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#2 Relaxed case a</w:t>
            </w:r>
          </w:p>
        </w:tc>
        <w:tc>
          <w:tcPr>
            <w:tcW w:w="1559"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On with relaxation measurement</w:t>
            </w:r>
          </w:p>
        </w:tc>
        <w:tc>
          <w:tcPr>
            <w:tcW w:w="1843"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Off</w:t>
            </w:r>
          </w:p>
        </w:tc>
        <w:tc>
          <w:tcPr>
            <w:tcW w:w="1850" w:type="dxa"/>
          </w:tcPr>
          <w:p>
            <w:pPr>
              <w:spacing w:after="0" w:line="256" w:lineRule="auto"/>
              <w:jc w:val="both"/>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ON</w:t>
            </w:r>
          </w:p>
        </w:tc>
      </w:tr>
    </w:tbl>
    <w:p>
      <w:pPr>
        <w:keepNext w:val="0"/>
        <w:keepLines w:val="0"/>
        <w:pageBreakBefore w:val="0"/>
        <w:widowControl/>
        <w:kinsoku/>
        <w:wordWrap/>
        <w:overflowPunct/>
        <w:topLinePunct w:val="0"/>
        <w:autoSpaceDE/>
        <w:autoSpaceDN/>
        <w:bidi w:val="0"/>
        <w:adjustRightInd/>
        <w:snapToGrid/>
        <w:spacing w:after="60"/>
        <w:textAlignment w:val="auto"/>
        <w:rPr>
          <w:rFonts w:eastAsia="等线"/>
          <w:i/>
          <w:iCs/>
          <w:color w:val="000000" w:themeColor="text1"/>
          <w:sz w:val="20"/>
          <w:szCs w:val="20"/>
          <w:lang w:val="en-US" w:eastAsia="ko-KR"/>
          <w14:textFill>
            <w14:solidFill>
              <w14:schemeClr w14:val="tx1"/>
            </w14:solidFill>
          </w14:textFill>
        </w:rPr>
      </w:pPr>
      <w:r>
        <w:rPr>
          <w:rFonts w:eastAsia="等线"/>
          <w:i/>
          <w:iCs/>
          <w:color w:val="000000" w:themeColor="text1"/>
          <w:sz w:val="20"/>
          <w:szCs w:val="20"/>
          <w:lang w:val="en-US" w:eastAsia="ko-KR"/>
          <w14:textFill>
            <w14:solidFill>
              <w14:schemeClr w14:val="tx1"/>
            </w14:solidFill>
          </w14:textFill>
        </w:rPr>
        <w:t>Case #4 is covered by issue for higher priority frequency layer</w:t>
      </w:r>
    </w:p>
    <w:tbl>
      <w:tblPr>
        <w:tblStyle w:val="20"/>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559"/>
        <w:gridCol w:w="1843"/>
        <w:gridCol w:w="1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RRM measurement case index</w:t>
            </w:r>
          </w:p>
        </w:tc>
        <w:tc>
          <w:tcPr>
            <w:tcW w:w="1559"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MR serving cell measurement</w:t>
            </w:r>
          </w:p>
        </w:tc>
        <w:tc>
          <w:tcPr>
            <w:tcW w:w="1843"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MR neighboring cell measurement</w:t>
            </w:r>
          </w:p>
        </w:tc>
        <w:tc>
          <w:tcPr>
            <w:tcW w:w="1850" w:type="dxa"/>
          </w:tcPr>
          <w:p>
            <w:pPr>
              <w:spacing w:after="0" w:line="256" w:lineRule="auto"/>
              <w:jc w:val="both"/>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#4 Relaxed case c</w:t>
            </w:r>
          </w:p>
        </w:tc>
        <w:tc>
          <w:tcPr>
            <w:tcW w:w="1559" w:type="dxa"/>
          </w:tcPr>
          <w:p>
            <w:pPr>
              <w:spacing w:after="0" w:line="256" w:lineRule="auto"/>
              <w:jc w:val="both"/>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 xml:space="preserve">Off </w:t>
            </w:r>
          </w:p>
        </w:tc>
        <w:tc>
          <w:tcPr>
            <w:tcW w:w="1843" w:type="dxa"/>
          </w:tcPr>
          <w:p>
            <w:pPr>
              <w:spacing w:after="0" w:line="256" w:lineRule="auto"/>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On, FFS the condition and the details</w:t>
            </w:r>
          </w:p>
        </w:tc>
        <w:tc>
          <w:tcPr>
            <w:tcW w:w="1850" w:type="dxa"/>
          </w:tcPr>
          <w:p>
            <w:pPr>
              <w:spacing w:after="0" w:line="256" w:lineRule="auto"/>
              <w:jc w:val="both"/>
              <w:rPr>
                <w:rFonts w:eastAsia="Malgun Gothic"/>
                <w:i/>
                <w:iCs/>
                <w:color w:val="000000" w:themeColor="text1"/>
                <w:sz w:val="18"/>
                <w:szCs w:val="18"/>
                <w:lang w:val="en-US" w:eastAsia="ko-KR"/>
                <w14:textFill>
                  <w14:solidFill>
                    <w14:schemeClr w14:val="tx1"/>
                  </w14:solidFill>
                </w14:textFill>
              </w:rPr>
            </w:pPr>
            <w:r>
              <w:rPr>
                <w:rFonts w:eastAsia="Malgun Gothic"/>
                <w:i/>
                <w:iCs/>
                <w:color w:val="000000" w:themeColor="text1"/>
                <w:sz w:val="18"/>
                <w:szCs w:val="18"/>
                <w:lang w:val="en-US" w:eastAsia="ko-KR"/>
                <w14:textFill>
                  <w14:solidFill>
                    <w14:schemeClr w14:val="tx1"/>
                  </w14:solidFill>
                </w14:textFill>
              </w:rPr>
              <w:t>ON</w:t>
            </w:r>
          </w:p>
        </w:tc>
      </w:tr>
    </w:tbl>
    <w:p>
      <w:pPr>
        <w:rPr>
          <w:b/>
          <w:i/>
          <w:iCs/>
          <w:color w:val="000000" w:themeColor="text1"/>
          <w:sz w:val="20"/>
          <w:szCs w:val="20"/>
          <w:u w:val="single"/>
          <w:lang w:eastAsia="ko-KR"/>
          <w14:textFill>
            <w14:solidFill>
              <w14:schemeClr w14:val="tx1"/>
            </w14:solidFill>
          </w14:textFill>
        </w:rPr>
      </w:pPr>
    </w:p>
    <w:p>
      <w:pPr>
        <w:spacing w:before="60"/>
        <w:jc w:val="both"/>
        <w:rPr>
          <w:rFonts w:hint="eastAsia"/>
          <w:sz w:val="20"/>
          <w:szCs w:val="20"/>
          <w:lang w:val="en-US" w:eastAsia="zh-CN"/>
        </w:rPr>
      </w:pPr>
      <w:r>
        <w:rPr>
          <w:rFonts w:hint="eastAsia"/>
          <w:sz w:val="20"/>
          <w:szCs w:val="20"/>
          <w:lang w:val="en-US" w:eastAsia="zh-CN"/>
        </w:rPr>
        <w:t>The legacy cell re-selection procedure in TS 38.304 are:</w:t>
      </w:r>
    </w:p>
    <w:p>
      <w:pPr>
        <w:numPr>
          <w:ilvl w:val="0"/>
          <w:numId w:val="5"/>
        </w:numPr>
        <w:spacing w:before="60"/>
        <w:ind w:left="420" w:leftChars="0" w:hanging="420" w:firstLineChars="0"/>
        <w:jc w:val="both"/>
        <w:rPr>
          <w:rFonts w:hint="eastAsia"/>
          <w:sz w:val="20"/>
          <w:szCs w:val="20"/>
          <w:lang w:val="en-US" w:eastAsia="zh-CN"/>
        </w:rPr>
      </w:pPr>
      <w:r>
        <w:rPr>
          <w:sz w:val="20"/>
          <w:szCs w:val="20"/>
        </w:rPr>
        <w:t>If the serving cell fulfils Srxlev</w:t>
      </w:r>
      <w:r>
        <w:rPr>
          <w:sz w:val="20"/>
          <w:szCs w:val="20"/>
          <w:vertAlign w:val="subscript"/>
        </w:rPr>
        <w:t xml:space="preserve"> </w:t>
      </w:r>
      <w:r>
        <w:rPr>
          <w:sz w:val="20"/>
          <w:szCs w:val="20"/>
        </w:rPr>
        <w:t>&gt; S</w:t>
      </w:r>
      <w:r>
        <w:rPr>
          <w:sz w:val="20"/>
          <w:szCs w:val="20"/>
          <w:vertAlign w:val="subscript"/>
        </w:rPr>
        <w:t>IntraSearchP</w:t>
      </w:r>
      <w:r>
        <w:rPr>
          <w:sz w:val="20"/>
          <w:szCs w:val="20"/>
        </w:rPr>
        <w:t xml:space="preserve"> and Squal &gt; S</w:t>
      </w:r>
      <w:r>
        <w:rPr>
          <w:sz w:val="20"/>
          <w:szCs w:val="20"/>
          <w:vertAlign w:val="subscript"/>
        </w:rPr>
        <w:t>IntraSearchQ</w:t>
      </w:r>
      <w:r>
        <w:rPr>
          <w:rFonts w:hint="eastAsia"/>
          <w:sz w:val="20"/>
          <w:szCs w:val="20"/>
          <w:vertAlign w:val="baseline"/>
          <w:lang w:val="en-US" w:eastAsia="zh-CN"/>
        </w:rPr>
        <w:t xml:space="preserve">, </w:t>
      </w:r>
      <w:r>
        <w:rPr>
          <w:sz w:val="20"/>
          <w:szCs w:val="20"/>
        </w:rPr>
        <w:t>the UE may not perform intra-frequency measurements</w:t>
      </w:r>
      <w:r>
        <w:rPr>
          <w:rFonts w:hint="eastAsia"/>
          <w:sz w:val="20"/>
          <w:szCs w:val="20"/>
          <w:lang w:val="en-US" w:eastAsia="zh-CN"/>
        </w:rPr>
        <w:t xml:space="preserve">. </w:t>
      </w:r>
    </w:p>
    <w:p>
      <w:pPr>
        <w:numPr>
          <w:ilvl w:val="0"/>
          <w:numId w:val="5"/>
        </w:numPr>
        <w:spacing w:before="60"/>
        <w:ind w:left="420" w:leftChars="0" w:hanging="420" w:firstLineChars="0"/>
        <w:jc w:val="both"/>
        <w:rPr>
          <w:rFonts w:hint="eastAsia"/>
          <w:sz w:val="20"/>
          <w:szCs w:val="20"/>
          <w:lang w:val="en-US" w:eastAsia="zh-CN"/>
        </w:rPr>
      </w:pPr>
      <w:r>
        <w:rPr>
          <w:sz w:val="20"/>
          <w:szCs w:val="20"/>
        </w:rPr>
        <w:t>If the serving cell fulfils Srxlev &gt; S</w:t>
      </w:r>
      <w:r>
        <w:rPr>
          <w:sz w:val="20"/>
          <w:szCs w:val="20"/>
          <w:vertAlign w:val="subscript"/>
        </w:rPr>
        <w:t>nonIntraSearchP</w:t>
      </w:r>
      <w:r>
        <w:rPr>
          <w:sz w:val="20"/>
          <w:szCs w:val="20"/>
        </w:rPr>
        <w:t xml:space="preserve"> and Squal &gt; S</w:t>
      </w:r>
      <w:r>
        <w:rPr>
          <w:sz w:val="20"/>
          <w:szCs w:val="20"/>
          <w:vertAlign w:val="subscript"/>
        </w:rPr>
        <w:t>nonIntraSearchQ</w:t>
      </w:r>
      <w:r>
        <w:rPr>
          <w:rFonts w:hint="eastAsia"/>
          <w:sz w:val="20"/>
          <w:szCs w:val="20"/>
          <w:vertAlign w:val="baseline"/>
          <w:lang w:val="en-US" w:eastAsia="zh-CN"/>
        </w:rPr>
        <w:t xml:space="preserve">, </w:t>
      </w:r>
      <w:r>
        <w:rPr>
          <w:sz w:val="20"/>
          <w:szCs w:val="20"/>
        </w:rPr>
        <w:t xml:space="preserve"> the UE may choose not to perform measurements of NR inter-frequency cells of equal or lower priority, or inter-RAT frequency cells of lower priorit</w:t>
      </w:r>
      <w:r>
        <w:rPr>
          <w:rFonts w:hint="eastAsia"/>
          <w:sz w:val="20"/>
          <w:szCs w:val="20"/>
          <w:lang w:val="en-US" w:eastAsia="zh-CN"/>
        </w:rPr>
        <w:t>y.</w:t>
      </w:r>
    </w:p>
    <w:p>
      <w:pPr>
        <w:spacing w:before="60"/>
        <w:jc w:val="both"/>
        <w:rPr>
          <w:rFonts w:hint="eastAsia"/>
          <w:sz w:val="20"/>
          <w:szCs w:val="20"/>
          <w:lang w:val="en-US" w:eastAsia="zh-CN"/>
        </w:rPr>
      </w:pPr>
      <w:r>
        <w:rPr>
          <w:rFonts w:hint="eastAsia"/>
          <w:sz w:val="20"/>
          <w:szCs w:val="20"/>
          <w:lang w:val="en-US" w:eastAsia="zh-CN"/>
        </w:rPr>
        <w:t>These two procedures should also be valid in scenario with LP-WUS/WUR.</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Observation 1: The legacy cell re-selection measurement rules should also be valid in the scenario with LP-WUS/WUR.</w:t>
      </w:r>
    </w:p>
    <w:p>
      <w:pPr>
        <w:spacing w:before="60"/>
        <w:jc w:val="both"/>
        <w:rPr>
          <w:rFonts w:hint="default" w:eastAsia="宋体"/>
          <w:i w:val="0"/>
          <w:iCs w:val="0"/>
          <w:color w:val="000000" w:themeColor="text1"/>
          <w:sz w:val="20"/>
          <w:szCs w:val="20"/>
          <w:vertAlign w:val="baseline"/>
          <w:lang w:val="en-US" w:eastAsia="zh-CN"/>
          <w14:textFill>
            <w14:solidFill>
              <w14:schemeClr w14:val="tx1"/>
            </w14:solidFill>
          </w14:textFill>
        </w:rPr>
      </w:pPr>
      <w:r>
        <w:rPr>
          <w:rFonts w:hint="eastAsia"/>
          <w:sz w:val="20"/>
          <w:szCs w:val="20"/>
          <w:lang w:val="en-US" w:eastAsia="zh-CN"/>
        </w:rPr>
        <w:t xml:space="preserve">Then, as long as network configures Case#3 entry condition lower than </w:t>
      </w:r>
      <w:r>
        <w:rPr>
          <w:sz w:val="20"/>
          <w:szCs w:val="20"/>
        </w:rPr>
        <w:t>S</w:t>
      </w:r>
      <w:r>
        <w:rPr>
          <w:rFonts w:hint="eastAsia"/>
          <w:sz w:val="20"/>
          <w:szCs w:val="20"/>
          <w:vertAlign w:val="subscript"/>
          <w:lang w:val="en-US" w:eastAsia="zh-CN"/>
        </w:rPr>
        <w:t>non</w:t>
      </w:r>
      <w:r>
        <w:rPr>
          <w:sz w:val="20"/>
          <w:szCs w:val="20"/>
          <w:vertAlign w:val="subscript"/>
        </w:rPr>
        <w:t>IntraSearchP</w:t>
      </w:r>
      <w:r>
        <w:rPr>
          <w:sz w:val="20"/>
          <w:szCs w:val="20"/>
        </w:rPr>
        <w:t xml:space="preserve"> </w:t>
      </w:r>
      <w:r>
        <w:rPr>
          <w:rFonts w:hint="eastAsia"/>
          <w:sz w:val="20"/>
          <w:szCs w:val="20"/>
          <w:lang w:val="en-US" w:eastAsia="zh-CN"/>
        </w:rPr>
        <w:t xml:space="preserve">and/or </w:t>
      </w:r>
      <w:r>
        <w:rPr>
          <w:sz w:val="20"/>
          <w:szCs w:val="20"/>
        </w:rPr>
        <w:t>S</w:t>
      </w:r>
      <w:r>
        <w:rPr>
          <w:sz w:val="20"/>
          <w:szCs w:val="20"/>
          <w:vertAlign w:val="subscript"/>
        </w:rPr>
        <w:t>IntraSearchP</w:t>
      </w:r>
      <w:r>
        <w:rPr>
          <w:rFonts w:hint="eastAsia"/>
          <w:sz w:val="20"/>
          <w:szCs w:val="20"/>
          <w:vertAlign w:val="baseline"/>
          <w:lang w:val="en-US" w:eastAsia="zh-CN"/>
        </w:rPr>
        <w:t xml:space="preserve">, and Case#1 entry condition higher than </w:t>
      </w:r>
      <w:r>
        <w:rPr>
          <w:sz w:val="20"/>
          <w:szCs w:val="20"/>
        </w:rPr>
        <w:t>S</w:t>
      </w:r>
      <w:r>
        <w:rPr>
          <w:sz w:val="20"/>
          <w:szCs w:val="20"/>
          <w:vertAlign w:val="subscript"/>
        </w:rPr>
        <w:t>IntraSearchP</w:t>
      </w:r>
      <w:r>
        <w:rPr>
          <w:rFonts w:hint="eastAsia"/>
          <w:sz w:val="20"/>
          <w:szCs w:val="20"/>
          <w:vertAlign w:val="baseline"/>
          <w:lang w:val="en-US" w:eastAsia="zh-CN"/>
        </w:rPr>
        <w:t>, after</w:t>
      </w:r>
      <w:r>
        <w:rPr>
          <w:rFonts w:hint="eastAsia"/>
          <w:sz w:val="20"/>
          <w:szCs w:val="20"/>
          <w:lang w:val="en-US" w:eastAsia="zh-CN"/>
        </w:rPr>
        <w:t xml:space="preserve"> UE entry in Case 3 and the Srelev becomes higher than </w:t>
      </w:r>
      <w:r>
        <w:rPr>
          <w:sz w:val="20"/>
          <w:szCs w:val="20"/>
        </w:rPr>
        <w:t>S</w:t>
      </w:r>
      <w:r>
        <w:rPr>
          <w:sz w:val="20"/>
          <w:szCs w:val="20"/>
          <w:vertAlign w:val="subscript"/>
        </w:rPr>
        <w:t>IntraSearchP</w:t>
      </w:r>
      <w:r>
        <w:rPr>
          <w:rFonts w:hint="eastAsia"/>
          <w:sz w:val="20"/>
          <w:szCs w:val="20"/>
          <w:vertAlign w:val="baseline"/>
          <w:lang w:val="en-US" w:eastAsia="zh-CN"/>
        </w:rPr>
        <w:t xml:space="preserve"> and lower than the entry condition of Case#1, </w:t>
      </w:r>
      <w:r>
        <w:rPr>
          <w:rFonts w:hint="eastAsia"/>
          <w:i w:val="0"/>
          <w:iCs w:val="0"/>
          <w:sz w:val="20"/>
          <w:szCs w:val="20"/>
          <w:vertAlign w:val="baseline"/>
          <w:lang w:val="en-US" w:eastAsia="zh-CN"/>
        </w:rPr>
        <w:t xml:space="preserve">only </w:t>
      </w:r>
      <w:r>
        <w:rPr>
          <w:rFonts w:eastAsia="Malgun Gothic"/>
          <w:i w:val="0"/>
          <w:iCs w:val="0"/>
          <w:color w:val="000000" w:themeColor="text1"/>
          <w:sz w:val="20"/>
          <w:szCs w:val="20"/>
          <w:vertAlign w:val="baseline"/>
          <w:lang w:val="en-US" w:eastAsia="ko-KR"/>
          <w14:textFill>
            <w14:solidFill>
              <w14:schemeClr w14:val="tx1"/>
            </w14:solidFill>
          </w14:textFill>
        </w:rPr>
        <w:t xml:space="preserve">MR serving cell </w:t>
      </w:r>
      <w:r>
        <w:rPr>
          <w:rFonts w:hint="eastAsia" w:eastAsia="宋体"/>
          <w:i w:val="0"/>
          <w:iCs w:val="0"/>
          <w:color w:val="000000" w:themeColor="text1"/>
          <w:sz w:val="20"/>
          <w:szCs w:val="20"/>
          <w:vertAlign w:val="baseline"/>
          <w:lang w:val="en-US" w:eastAsia="zh-CN"/>
          <w14:textFill>
            <w14:solidFill>
              <w14:schemeClr w14:val="tx1"/>
            </w14:solidFill>
          </w14:textFill>
        </w:rPr>
        <w:t xml:space="preserve">relaxed </w:t>
      </w:r>
      <w:r>
        <w:rPr>
          <w:rFonts w:eastAsia="Malgun Gothic"/>
          <w:i w:val="0"/>
          <w:iCs w:val="0"/>
          <w:color w:val="000000" w:themeColor="text1"/>
          <w:sz w:val="20"/>
          <w:szCs w:val="20"/>
          <w:vertAlign w:val="baseline"/>
          <w:lang w:val="en-US" w:eastAsia="ko-KR"/>
          <w14:textFill>
            <w14:solidFill>
              <w14:schemeClr w14:val="tx1"/>
            </w14:solidFill>
          </w14:textFill>
        </w:rPr>
        <w:t>measurement</w:t>
      </w:r>
      <w:r>
        <w:rPr>
          <w:rFonts w:hint="eastAsia" w:eastAsia="宋体"/>
          <w:i w:val="0"/>
          <w:iCs w:val="0"/>
          <w:color w:val="000000" w:themeColor="text1"/>
          <w:sz w:val="20"/>
          <w:szCs w:val="20"/>
          <w:vertAlign w:val="baseline"/>
          <w:lang w:val="en-US" w:eastAsia="zh-CN"/>
          <w14:textFill>
            <w14:solidFill>
              <w14:schemeClr w14:val="tx1"/>
            </w14:solidFill>
          </w14:textFill>
        </w:rPr>
        <w:t xml:space="preserve"> need to be performed, which is Case#2. Hence, Case#2 is a possible case, and its existence depends on network configuration.</w:t>
      </w:r>
    </w:p>
    <w:p>
      <w:pPr>
        <w:numPr>
          <w:ilvl w:val="0"/>
          <w:numId w:val="0"/>
        </w:numPr>
        <w:spacing w:before="60"/>
        <w:jc w:val="both"/>
        <w:rPr>
          <w:rFonts w:hint="eastAsia" w:eastAsia="宋体"/>
          <w:i w:val="0"/>
          <w:iCs w:val="0"/>
          <w:color w:val="000000" w:themeColor="text1"/>
          <w:sz w:val="20"/>
          <w:szCs w:val="20"/>
          <w:vertAlign w:val="baseline"/>
          <w:lang w:val="en-US" w:eastAsia="zh-CN"/>
          <w14:textFill>
            <w14:solidFill>
              <w14:schemeClr w14:val="tx1"/>
            </w14:solidFill>
          </w14:textFill>
        </w:rPr>
      </w:pPr>
      <w:r>
        <w:rPr>
          <w:rFonts w:hint="eastAsia"/>
          <w:b/>
          <w:bCs/>
          <w:i/>
          <w:iCs/>
          <w:sz w:val="20"/>
          <w:szCs w:val="20"/>
          <w:lang w:val="en-US" w:eastAsia="zh-CN"/>
        </w:rPr>
        <w:t>Proposal 1: Case#2 is a possible case, its existence depends on network configuration.</w:t>
      </w:r>
    </w:p>
    <w:p>
      <w:pPr>
        <w:rPr>
          <w:rFonts w:hint="default" w:eastAsia="等线"/>
          <w:color w:val="000000"/>
          <w:sz w:val="21"/>
          <w:szCs w:val="21"/>
          <w:lang w:val="en-US" w:eastAsia="zh-CN"/>
        </w:rPr>
      </w:pPr>
    </w:p>
    <w:p>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1-1-2: Measurement requirements to be specified for LP-WUR</w:t>
      </w:r>
    </w:p>
    <w:p>
      <w:pPr>
        <w:keepNext w:val="0"/>
        <w:keepLines w:val="0"/>
        <w:pageBreakBefore w:val="0"/>
        <w:widowControl/>
        <w:kinsoku/>
        <w:wordWrap/>
        <w:overflowPunct/>
        <w:topLinePunct w:val="0"/>
        <w:autoSpaceDE/>
        <w:autoSpaceDN/>
        <w:bidi w:val="0"/>
        <w:adjustRightInd/>
        <w:snapToGrid w:val="0"/>
        <w:spacing w:after="60"/>
        <w:textAlignment w:val="auto"/>
        <w:rPr>
          <w:b w:val="0"/>
          <w:bCs w:val="0"/>
          <w:i/>
          <w:iCs/>
          <w:color w:val="000000"/>
          <w:sz w:val="20"/>
          <w:szCs w:val="20"/>
          <w:highlight w:val="green"/>
          <w:lang w:val="en-US" w:eastAsia="zh-CN"/>
        </w:rPr>
      </w:pPr>
      <w:r>
        <w:rPr>
          <w:rFonts w:hint="eastAsia"/>
          <w:b w:val="0"/>
          <w:bCs w:val="0"/>
          <w:i/>
          <w:iCs/>
          <w:color w:val="000000"/>
          <w:sz w:val="20"/>
          <w:szCs w:val="20"/>
          <w:highlight w:val="green"/>
          <w:lang w:val="en-US" w:eastAsia="zh-CN"/>
        </w:rPr>
        <w:t>Agreement from</w:t>
      </w:r>
      <w:r>
        <w:rPr>
          <w:b w:val="0"/>
          <w:bCs w:val="0"/>
          <w:i/>
          <w:iCs/>
          <w:color w:val="000000"/>
          <w:sz w:val="20"/>
          <w:szCs w:val="20"/>
          <w:highlight w:val="green"/>
          <w:lang w:val="en-US" w:eastAsia="zh-CN"/>
        </w:rPr>
        <w:t xml:space="preserve"> RAN4</w:t>
      </w:r>
      <w:r>
        <w:rPr>
          <w:rFonts w:hint="eastAsia"/>
          <w:b w:val="0"/>
          <w:bCs w:val="0"/>
          <w:i/>
          <w:iCs/>
          <w:color w:val="000000"/>
          <w:sz w:val="20"/>
          <w:szCs w:val="20"/>
          <w:highlight w:val="green"/>
          <w:lang w:val="en-US" w:eastAsia="zh-CN"/>
        </w:rPr>
        <w:t>#</w:t>
      </w:r>
      <w:r>
        <w:rPr>
          <w:b w:val="0"/>
          <w:bCs w:val="0"/>
          <w:i/>
          <w:iCs/>
          <w:color w:val="000000"/>
          <w:sz w:val="20"/>
          <w:szCs w:val="20"/>
          <w:highlight w:val="green"/>
          <w:lang w:val="en-US" w:eastAsia="zh-CN"/>
        </w:rPr>
        <w:t>110bis</w:t>
      </w:r>
    </w:p>
    <w:p>
      <w:pPr>
        <w:pStyle w:val="75"/>
        <w:keepNext w:val="0"/>
        <w:keepLines w:val="0"/>
        <w:pageBreakBefore w:val="0"/>
        <w:widowControl/>
        <w:numPr>
          <w:ilvl w:val="0"/>
          <w:numId w:val="6"/>
        </w:numPr>
        <w:kinsoku/>
        <w:wordWrap/>
        <w:overflowPunct/>
        <w:topLinePunct w:val="0"/>
        <w:autoSpaceDE/>
        <w:autoSpaceDN/>
        <w:bidi w:val="0"/>
        <w:adjustRightInd/>
        <w:snapToGrid/>
        <w:spacing w:after="60"/>
        <w:ind w:left="600" w:leftChars="0" w:hanging="363" w:firstLineChars="0"/>
        <w:textAlignment w:val="auto"/>
        <w:rPr>
          <w:i/>
          <w:iCs/>
          <w:color w:val="000000"/>
          <w:sz w:val="20"/>
          <w:szCs w:val="16"/>
        </w:rPr>
      </w:pPr>
      <w:r>
        <w:rPr>
          <w:i/>
          <w:iCs/>
          <w:color w:val="000000"/>
          <w:sz w:val="20"/>
          <w:szCs w:val="16"/>
        </w:rPr>
        <w:t>At Rel-19 LP-WUR WI, for LP-WUR measurement, RAN4 specifies measurement requirements for the following:</w:t>
      </w:r>
    </w:p>
    <w:p>
      <w:pPr>
        <w:pStyle w:val="75"/>
        <w:keepNext w:val="0"/>
        <w:keepLines w:val="0"/>
        <w:pageBreakBefore w:val="0"/>
        <w:widowControl/>
        <w:numPr>
          <w:ilvl w:val="1"/>
          <w:numId w:val="6"/>
        </w:numPr>
        <w:kinsoku/>
        <w:wordWrap/>
        <w:overflowPunct/>
        <w:topLinePunct w:val="0"/>
        <w:autoSpaceDE/>
        <w:autoSpaceDN/>
        <w:bidi w:val="0"/>
        <w:adjustRightInd/>
        <w:snapToGrid/>
        <w:spacing w:after="60"/>
        <w:ind w:left="1236" w:leftChars="0" w:hanging="363" w:firstLineChars="0"/>
        <w:textAlignment w:val="auto"/>
        <w:rPr>
          <w:i/>
          <w:iCs/>
          <w:color w:val="000000"/>
          <w:sz w:val="20"/>
          <w:szCs w:val="16"/>
        </w:rPr>
      </w:pPr>
      <w:r>
        <w:rPr>
          <w:i/>
          <w:iCs/>
          <w:color w:val="000000"/>
          <w:sz w:val="20"/>
          <w:szCs w:val="16"/>
        </w:rPr>
        <w:t>Measurement requirements for LP-WUR serving cell measurement based on LP-SS at Idle/Inactive state</w:t>
      </w:r>
    </w:p>
    <w:p>
      <w:pPr>
        <w:pStyle w:val="75"/>
        <w:keepNext w:val="0"/>
        <w:keepLines w:val="0"/>
        <w:pageBreakBefore w:val="0"/>
        <w:widowControl/>
        <w:numPr>
          <w:ilvl w:val="1"/>
          <w:numId w:val="6"/>
        </w:numPr>
        <w:kinsoku/>
        <w:wordWrap/>
        <w:overflowPunct/>
        <w:topLinePunct w:val="0"/>
        <w:autoSpaceDE/>
        <w:autoSpaceDN/>
        <w:bidi w:val="0"/>
        <w:adjustRightInd/>
        <w:snapToGrid/>
        <w:spacing w:after="60"/>
        <w:ind w:left="1236" w:leftChars="0" w:hanging="363" w:firstLineChars="0"/>
        <w:textAlignment w:val="auto"/>
        <w:rPr>
          <w:i/>
          <w:iCs/>
          <w:sz w:val="20"/>
          <w:szCs w:val="16"/>
        </w:rPr>
      </w:pPr>
      <w:r>
        <w:rPr>
          <w:i/>
          <w:iCs/>
          <w:sz w:val="20"/>
          <w:szCs w:val="16"/>
        </w:rPr>
        <w:t>Measurement requirements for LP-WUR serving cell measurement based on existing PSS/SSS at Idle/Inactive state</w:t>
      </w:r>
    </w:p>
    <w:p>
      <w:pPr>
        <w:pStyle w:val="75"/>
        <w:keepNext w:val="0"/>
        <w:keepLines w:val="0"/>
        <w:pageBreakBefore w:val="0"/>
        <w:widowControl/>
        <w:numPr>
          <w:ilvl w:val="0"/>
          <w:numId w:val="6"/>
        </w:numPr>
        <w:kinsoku/>
        <w:wordWrap/>
        <w:overflowPunct/>
        <w:topLinePunct w:val="0"/>
        <w:autoSpaceDE/>
        <w:autoSpaceDN/>
        <w:bidi w:val="0"/>
        <w:adjustRightInd/>
        <w:snapToGrid/>
        <w:spacing w:after="60"/>
        <w:ind w:left="600" w:leftChars="0" w:hanging="363" w:firstLineChars="0"/>
        <w:textAlignment w:val="auto"/>
        <w:rPr>
          <w:i/>
          <w:iCs/>
          <w:color w:val="000000"/>
          <w:sz w:val="20"/>
          <w:szCs w:val="16"/>
        </w:rPr>
      </w:pPr>
      <w:r>
        <w:rPr>
          <w:i/>
          <w:iCs/>
          <w:color w:val="000000"/>
          <w:sz w:val="20"/>
          <w:szCs w:val="16"/>
        </w:rPr>
        <w:t>Other related requirements are FFS</w:t>
      </w:r>
    </w:p>
    <w:p>
      <w:pPr>
        <w:rPr>
          <w:rFonts w:hint="default" w:ascii="Times New Roman" w:hAnsi="Times New Roman" w:eastAsia="宋体"/>
          <w:i/>
          <w:iCs/>
          <w:sz w:val="20"/>
          <w:szCs w:val="20"/>
          <w:lang w:val="en-US" w:eastAsia="zh-CN" w:bidi="ar"/>
        </w:rPr>
      </w:pPr>
      <w:r>
        <w:rPr>
          <w:rFonts w:ascii="Times New Roman" w:hAnsi="Times New Roman" w:eastAsia="Batang"/>
          <w:i/>
          <w:iCs/>
          <w:sz w:val="20"/>
          <w:szCs w:val="20"/>
          <w:highlight w:val="green"/>
          <w:lang w:val="en-GB" w:eastAsia="ko-KR" w:bidi="ar"/>
        </w:rPr>
        <w:t>Agreement</w:t>
      </w:r>
      <w:r>
        <w:rPr>
          <w:rFonts w:hint="eastAsia" w:eastAsia="宋体"/>
          <w:i/>
          <w:iCs/>
          <w:sz w:val="20"/>
          <w:szCs w:val="20"/>
          <w:highlight w:val="green"/>
          <w:lang w:val="en-US" w:eastAsia="zh-CN" w:bidi="ar"/>
        </w:rPr>
        <w:t xml:space="preserve"> from RAN1#118bis</w:t>
      </w:r>
    </w:p>
    <w:p>
      <w:pPr>
        <w:overflowPunct w:val="0"/>
        <w:autoSpaceDE w:val="0"/>
        <w:autoSpaceDN w:val="0"/>
        <w:adjustRightInd w:val="0"/>
        <w:spacing w:after="180"/>
        <w:contextualSpacing/>
        <w:jc w:val="both"/>
        <w:textAlignment w:val="baseline"/>
        <w:rPr>
          <w:rFonts w:ascii="Times New Roman" w:hAnsi="Times New Roman" w:eastAsia="微软雅黑"/>
          <w:i/>
          <w:iCs/>
          <w:sz w:val="20"/>
          <w:szCs w:val="20"/>
          <w:lang w:val="en-GB" w:eastAsia="zh-CN"/>
        </w:rPr>
      </w:pPr>
      <w:r>
        <w:rPr>
          <w:rFonts w:ascii="Times New Roman" w:hAnsi="Times New Roman" w:eastAsia="微软雅黑"/>
          <w:i/>
          <w:iCs/>
          <w:sz w:val="20"/>
          <w:szCs w:val="20"/>
          <w:lang w:val="en-GB" w:eastAsia="zh-CN"/>
        </w:rPr>
        <w:t>Support overlaid OFDM sequence(s) for LP-SS:</w:t>
      </w:r>
    </w:p>
    <w:p>
      <w:pPr>
        <w:numPr>
          <w:ilvl w:val="0"/>
          <w:numId w:val="7"/>
        </w:numPr>
        <w:overflowPunct w:val="0"/>
        <w:autoSpaceDE w:val="0"/>
        <w:autoSpaceDN w:val="0"/>
        <w:adjustRightInd w:val="0"/>
        <w:ind w:left="720" w:hanging="360"/>
        <w:contextualSpacing/>
        <w:jc w:val="both"/>
        <w:textAlignment w:val="baseline"/>
        <w:rPr>
          <w:rFonts w:ascii="Times New Roman" w:hAnsi="Times New Roman" w:eastAsia="微软雅黑"/>
          <w:i/>
          <w:iCs/>
          <w:color w:val="000000"/>
          <w:sz w:val="20"/>
          <w:szCs w:val="20"/>
          <w:lang w:val="en-GB" w:eastAsia="zh-CN"/>
        </w:rPr>
      </w:pPr>
      <w:r>
        <w:rPr>
          <w:rFonts w:ascii="Times New Roman" w:hAnsi="Times New Roman" w:eastAsia="微软雅黑"/>
          <w:i/>
          <w:iCs/>
          <w:color w:val="000000"/>
          <w:sz w:val="20"/>
          <w:szCs w:val="20"/>
          <w:lang w:val="en-GB" w:eastAsia="zh-CN"/>
        </w:rPr>
        <w:t>LP-SS reuses the overlaid OFDM sequence(s) specified for LP-WUS. The design on overlaid OFDM sequence(s) specified for LP-WUS doesn’t target for sync and RRM measurement performance based on overlaid OFDM sequence for LP-SS.</w:t>
      </w:r>
    </w:p>
    <w:p>
      <w:pPr>
        <w:numPr>
          <w:ilvl w:val="0"/>
          <w:numId w:val="7"/>
        </w:numPr>
        <w:overflowPunct w:val="0"/>
        <w:autoSpaceDE w:val="0"/>
        <w:autoSpaceDN w:val="0"/>
        <w:adjustRightInd w:val="0"/>
        <w:ind w:left="720" w:hanging="360"/>
        <w:contextualSpacing/>
        <w:jc w:val="both"/>
        <w:textAlignment w:val="baseline"/>
        <w:rPr>
          <w:rFonts w:ascii="Times New Roman" w:hAnsi="Times New Roman" w:eastAsia="微软雅黑"/>
          <w:i/>
          <w:iCs/>
          <w:sz w:val="20"/>
          <w:szCs w:val="20"/>
          <w:lang w:val="en-GB" w:eastAsia="zh-CN"/>
        </w:rPr>
      </w:pPr>
      <w:r>
        <w:rPr>
          <w:rFonts w:ascii="Times New Roman" w:hAnsi="Times New Roman" w:eastAsia="微软雅黑"/>
          <w:i/>
          <w:iCs/>
          <w:sz w:val="20"/>
          <w:szCs w:val="20"/>
          <w:lang w:val="en-GB" w:eastAsia="zh-CN"/>
        </w:rPr>
        <w:t>Whether to transmit LP-SS by using a specified overlaid OFDM sequence is configurable.</w:t>
      </w:r>
    </w:p>
    <w:p>
      <w:pPr>
        <w:numPr>
          <w:ilvl w:val="1"/>
          <w:numId w:val="7"/>
        </w:numPr>
        <w:overflowPunct w:val="0"/>
        <w:autoSpaceDE w:val="0"/>
        <w:autoSpaceDN w:val="0"/>
        <w:adjustRightInd w:val="0"/>
        <w:ind w:left="1440" w:hanging="360"/>
        <w:contextualSpacing/>
        <w:jc w:val="both"/>
        <w:textAlignment w:val="baseline"/>
        <w:rPr>
          <w:rFonts w:ascii="Times New Roman" w:hAnsi="Times New Roman" w:eastAsia="微软雅黑"/>
          <w:i/>
          <w:iCs/>
          <w:sz w:val="20"/>
          <w:szCs w:val="20"/>
          <w:lang w:val="en-GB" w:eastAsia="zh-CN"/>
        </w:rPr>
      </w:pPr>
      <w:r>
        <w:rPr>
          <w:rFonts w:ascii="Times New Roman" w:hAnsi="Times New Roman" w:eastAsia="微软雅黑"/>
          <w:i/>
          <w:iCs/>
          <w:sz w:val="20"/>
          <w:szCs w:val="20"/>
          <w:lang w:val="en-GB" w:eastAsia="zh-CN"/>
        </w:rPr>
        <w:t>Applicable at least for OOK-1 and FFS for OOK-4</w:t>
      </w:r>
    </w:p>
    <w:p>
      <w:pPr>
        <w:numPr>
          <w:ilvl w:val="0"/>
          <w:numId w:val="7"/>
        </w:numPr>
        <w:overflowPunct w:val="0"/>
        <w:autoSpaceDE w:val="0"/>
        <w:autoSpaceDN w:val="0"/>
        <w:adjustRightInd w:val="0"/>
        <w:spacing w:after="180"/>
        <w:ind w:left="720" w:hanging="360"/>
        <w:contextualSpacing/>
        <w:jc w:val="both"/>
        <w:textAlignment w:val="baseline"/>
        <w:rPr>
          <w:rFonts w:ascii="Times New Roman" w:hAnsi="Times New Roman" w:eastAsia="微软雅黑"/>
          <w:i/>
          <w:iCs/>
          <w:sz w:val="20"/>
          <w:szCs w:val="20"/>
          <w:lang w:val="en-GB" w:eastAsia="zh-CN"/>
        </w:rPr>
      </w:pPr>
      <w:r>
        <w:rPr>
          <w:rFonts w:ascii="Times New Roman" w:hAnsi="Times New Roman" w:eastAsia="微软雅黑"/>
          <w:i/>
          <w:iCs/>
          <w:sz w:val="20"/>
          <w:szCs w:val="20"/>
          <w:lang w:val="en-GB" w:eastAsia="zh-CN"/>
        </w:rPr>
        <w:t>From RAN1 perspective, it is not intended to introduce new RAN4 requirements specific to overlaid sequences</w:t>
      </w:r>
    </w:p>
    <w:p>
      <w:pPr>
        <w:spacing w:before="60"/>
        <w:jc w:val="both"/>
        <w:rPr>
          <w:rFonts w:hint="eastAsia"/>
          <w:sz w:val="20"/>
          <w:szCs w:val="20"/>
          <w:lang w:val="en-US" w:eastAsia="zh-CN"/>
        </w:rPr>
      </w:pPr>
      <w:r>
        <w:rPr>
          <w:rFonts w:hint="eastAsia"/>
          <w:sz w:val="20"/>
          <w:szCs w:val="20"/>
          <w:lang w:val="en-US" w:eastAsia="zh-CN"/>
        </w:rPr>
        <w:t>RAN1 agreed that overlaid OFDM sequence over LP-SS is supported, but RAN4 requirements are not intended to be introduced. Therefore, RAN4 can only focus on the measurement requirement specification of following two cases:</w:t>
      </w:r>
    </w:p>
    <w:p>
      <w:pPr>
        <w:numPr>
          <w:ilvl w:val="0"/>
          <w:numId w:val="8"/>
        </w:numPr>
        <w:spacing w:before="60"/>
        <w:ind w:left="420" w:leftChars="0" w:hanging="420" w:firstLineChars="0"/>
        <w:jc w:val="both"/>
        <w:rPr>
          <w:rFonts w:hint="default"/>
          <w:sz w:val="20"/>
          <w:szCs w:val="20"/>
          <w:lang w:val="en-US" w:eastAsia="zh-CN"/>
        </w:rPr>
      </w:pPr>
      <w:r>
        <w:rPr>
          <w:rFonts w:hint="default"/>
          <w:sz w:val="20"/>
          <w:szCs w:val="20"/>
          <w:lang w:val="en-US" w:eastAsia="zh-CN"/>
        </w:rPr>
        <w:t>Measurement requirements for OOK-based LP-WUR serving cell measurement based on LP-SS at Idle/Inactive state</w:t>
      </w:r>
    </w:p>
    <w:p>
      <w:pPr>
        <w:numPr>
          <w:ilvl w:val="0"/>
          <w:numId w:val="8"/>
        </w:numPr>
        <w:spacing w:before="60"/>
        <w:ind w:left="420" w:leftChars="0" w:hanging="420" w:firstLineChars="0"/>
        <w:jc w:val="both"/>
        <w:rPr>
          <w:rFonts w:hint="default"/>
          <w:sz w:val="20"/>
          <w:szCs w:val="20"/>
          <w:lang w:val="en-US" w:eastAsia="zh-CN"/>
        </w:rPr>
      </w:pPr>
      <w:r>
        <w:rPr>
          <w:rFonts w:hint="default"/>
          <w:sz w:val="20"/>
          <w:szCs w:val="20"/>
          <w:lang w:val="en-US" w:eastAsia="zh-CN"/>
        </w:rPr>
        <w:t>Measurement requirements for OFDM-based LP-WUR serving cell measurement based on existing PSS/SSS at Idle/Inactive state</w:t>
      </w:r>
    </w:p>
    <w:p>
      <w:pPr>
        <w:numPr>
          <w:ilvl w:val="0"/>
          <w:numId w:val="0"/>
        </w:numPr>
        <w:spacing w:before="60"/>
        <w:jc w:val="both"/>
        <w:rPr>
          <w:rFonts w:hint="eastAsia"/>
          <w:b/>
          <w:bCs/>
          <w:i/>
          <w:iCs/>
          <w:color w:val="000000"/>
          <w:sz w:val="20"/>
          <w:szCs w:val="16"/>
          <w:lang w:val="en-US" w:eastAsia="zh-CN"/>
        </w:rPr>
      </w:pPr>
      <w:r>
        <w:rPr>
          <w:rFonts w:hint="eastAsia"/>
          <w:b/>
          <w:bCs/>
          <w:i/>
          <w:iCs/>
          <w:sz w:val="20"/>
          <w:szCs w:val="20"/>
          <w:lang w:val="en-US" w:eastAsia="zh-CN"/>
        </w:rPr>
        <w:t xml:space="preserve">Proposal 2: </w:t>
      </w:r>
      <w:r>
        <w:rPr>
          <w:b/>
          <w:bCs/>
          <w:i/>
          <w:iCs/>
          <w:color w:val="000000"/>
          <w:sz w:val="20"/>
          <w:szCs w:val="16"/>
        </w:rPr>
        <w:t>RAN4 specifies measurement requirements for the following</w:t>
      </w:r>
      <w:r>
        <w:rPr>
          <w:rFonts w:hint="eastAsia"/>
          <w:b/>
          <w:bCs/>
          <w:i/>
          <w:iCs/>
          <w:color w:val="000000"/>
          <w:sz w:val="20"/>
          <w:szCs w:val="16"/>
          <w:lang w:val="en-US" w:eastAsia="zh-CN"/>
        </w:rPr>
        <w:t xml:space="preserve"> two cases:</w:t>
      </w:r>
    </w:p>
    <w:p>
      <w:pPr>
        <w:numPr>
          <w:ilvl w:val="0"/>
          <w:numId w:val="8"/>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Measurement requirements for OOK-based LP-WUR serving cell measurement based on LP-SS at Idle/Inactive state</w:t>
      </w:r>
    </w:p>
    <w:p>
      <w:pPr>
        <w:numPr>
          <w:ilvl w:val="0"/>
          <w:numId w:val="8"/>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Measurement requirements for OFDM-based LP-WUR serving cell measurement based on existing PSS/SSS at Idle/Inactive state</w:t>
      </w:r>
    </w:p>
    <w:p>
      <w:pPr>
        <w:rPr>
          <w:rFonts w:hint="default"/>
          <w:b/>
          <w:color w:val="000000" w:themeColor="text1"/>
          <w:u w:val="single"/>
          <w:lang w:val="en-US" w:eastAsia="zh-CN"/>
          <w14:textFill>
            <w14:solidFill>
              <w14:schemeClr w14:val="tx1"/>
            </w14:solidFill>
          </w14:textFill>
        </w:rPr>
      </w:pPr>
    </w:p>
    <w:p>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1-1-4: Threshold for switch between case 1 and case 3</w:t>
      </w:r>
    </w:p>
    <w:p>
      <w:pPr>
        <w:rPr>
          <w:b/>
          <w:i/>
          <w:iCs/>
          <w:color w:val="000000" w:themeColor="text1"/>
          <w:sz w:val="20"/>
          <w:szCs w:val="20"/>
          <w:u w:val="single"/>
          <w:lang w:eastAsia="ko-KR"/>
          <w14:textFill>
            <w14:solidFill>
              <w14:schemeClr w14:val="tx1"/>
            </w14:solidFill>
          </w14:textFill>
        </w:rPr>
      </w:pPr>
      <w:r>
        <w:rPr>
          <w:rFonts w:ascii="Times New Roman" w:hAnsi="Times New Roman" w:eastAsia="Batang"/>
          <w:i/>
          <w:iCs/>
          <w:sz w:val="20"/>
          <w:szCs w:val="20"/>
          <w:highlight w:val="green"/>
          <w:lang w:val="en-GB" w:eastAsia="ko-KR" w:bidi="ar"/>
        </w:rPr>
        <w:t>Agreement</w:t>
      </w:r>
      <w:r>
        <w:rPr>
          <w:rFonts w:hint="eastAsia" w:eastAsia="宋体"/>
          <w:i/>
          <w:iCs/>
          <w:sz w:val="20"/>
          <w:szCs w:val="20"/>
          <w:highlight w:val="green"/>
          <w:lang w:val="en-US" w:eastAsia="zh-CN" w:bidi="ar"/>
        </w:rPr>
        <w:t xml:space="preserve"> from RAN2#127:</w:t>
      </w:r>
    </w:p>
    <w:p>
      <w:pPr>
        <w:pStyle w:val="75"/>
        <w:keepNext w:val="0"/>
        <w:keepLines w:val="0"/>
        <w:pageBreakBefore w:val="0"/>
        <w:widowControl/>
        <w:numPr>
          <w:ilvl w:val="0"/>
          <w:numId w:val="6"/>
        </w:numPr>
        <w:kinsoku/>
        <w:wordWrap/>
        <w:overflowPunct/>
        <w:topLinePunct w:val="0"/>
        <w:autoSpaceDE/>
        <w:autoSpaceDN/>
        <w:bidi w:val="0"/>
        <w:adjustRightInd/>
        <w:snapToGrid/>
        <w:spacing w:after="60"/>
        <w:ind w:left="600" w:leftChars="0" w:hanging="363" w:firstLineChars="0"/>
        <w:textAlignment w:val="auto"/>
        <w:rPr>
          <w:i/>
          <w:iCs/>
          <w:color w:val="000000"/>
          <w:sz w:val="20"/>
          <w:szCs w:val="16"/>
          <w:lang w:eastAsia="zh-CN"/>
        </w:rPr>
      </w:pPr>
      <w:r>
        <w:rPr>
          <w:i/>
          <w:iCs/>
          <w:color w:val="000000"/>
          <w:sz w:val="20"/>
          <w:szCs w:val="16"/>
          <w:lang w:eastAsia="zh-CN"/>
        </w:rPr>
        <w:t>For serving cell measurement offloading (i.e., there is no serving cell measurement by MR):</w:t>
      </w:r>
    </w:p>
    <w:p>
      <w:pPr>
        <w:pStyle w:val="75"/>
        <w:keepNext w:val="0"/>
        <w:keepLines w:val="0"/>
        <w:pageBreakBefore w:val="0"/>
        <w:widowControl/>
        <w:numPr>
          <w:ilvl w:val="1"/>
          <w:numId w:val="6"/>
        </w:numPr>
        <w:kinsoku/>
        <w:wordWrap/>
        <w:overflowPunct/>
        <w:topLinePunct w:val="0"/>
        <w:autoSpaceDE/>
        <w:autoSpaceDN/>
        <w:bidi w:val="0"/>
        <w:adjustRightInd/>
        <w:snapToGrid/>
        <w:spacing w:after="60"/>
        <w:ind w:left="1020" w:leftChars="0" w:hanging="363" w:firstLineChars="0"/>
        <w:textAlignment w:val="auto"/>
        <w:rPr>
          <w:i/>
          <w:iCs/>
          <w:color w:val="000000"/>
          <w:sz w:val="20"/>
          <w:szCs w:val="16"/>
          <w:lang w:eastAsia="zh-CN"/>
        </w:rPr>
      </w:pPr>
      <w:r>
        <w:rPr>
          <w:i/>
          <w:iCs/>
          <w:color w:val="000000"/>
          <w:sz w:val="20"/>
          <w:szCs w:val="16"/>
          <w:lang w:eastAsia="zh-CN"/>
        </w:rPr>
        <w:t xml:space="preserve">The entry conditions for serving cell measurement offloading can be defined as at least MR greater than a certain RSRP threshold, and LR could also be considered. </w:t>
      </w:r>
    </w:p>
    <w:p>
      <w:pPr>
        <w:pStyle w:val="75"/>
        <w:keepNext w:val="0"/>
        <w:keepLines w:val="0"/>
        <w:pageBreakBefore w:val="0"/>
        <w:widowControl/>
        <w:numPr>
          <w:ilvl w:val="1"/>
          <w:numId w:val="6"/>
        </w:numPr>
        <w:kinsoku/>
        <w:wordWrap/>
        <w:overflowPunct/>
        <w:topLinePunct w:val="0"/>
        <w:autoSpaceDE/>
        <w:autoSpaceDN/>
        <w:bidi w:val="0"/>
        <w:adjustRightInd/>
        <w:snapToGrid/>
        <w:spacing w:after="60"/>
        <w:ind w:left="1020" w:leftChars="0" w:hanging="363" w:firstLineChars="0"/>
        <w:textAlignment w:val="auto"/>
        <w:rPr>
          <w:i/>
          <w:iCs/>
          <w:color w:val="000000"/>
          <w:sz w:val="20"/>
          <w:szCs w:val="16"/>
          <w:lang w:eastAsia="zh-CN"/>
        </w:rPr>
      </w:pPr>
      <w:r>
        <w:rPr>
          <w:i/>
          <w:iCs/>
          <w:color w:val="000000"/>
          <w:sz w:val="20"/>
          <w:szCs w:val="16"/>
          <w:lang w:eastAsia="zh-CN"/>
        </w:rPr>
        <w:t>The exit condition is based on the LR measurement results.</w:t>
      </w:r>
    </w:p>
    <w:p>
      <w:pPr>
        <w:rPr>
          <w:lang w:eastAsia="zh-CN"/>
        </w:rPr>
      </w:pPr>
      <w:r>
        <w:rPr>
          <w:rFonts w:ascii="Times New Roman" w:hAnsi="Times New Roman" w:eastAsia="Batang"/>
          <w:i/>
          <w:iCs/>
          <w:sz w:val="20"/>
          <w:szCs w:val="20"/>
          <w:highlight w:val="green"/>
          <w:lang w:val="en-GB" w:eastAsia="ko-KR" w:bidi="ar"/>
        </w:rPr>
        <w:t>Agreement</w:t>
      </w:r>
      <w:r>
        <w:rPr>
          <w:rFonts w:hint="eastAsia" w:eastAsia="宋体"/>
          <w:i/>
          <w:iCs/>
          <w:sz w:val="20"/>
          <w:szCs w:val="20"/>
          <w:highlight w:val="green"/>
          <w:lang w:val="en-US" w:eastAsia="zh-CN" w:bidi="ar"/>
        </w:rPr>
        <w:t xml:space="preserve"> from RAN2#127bis: Working assumption</w:t>
      </w:r>
    </w:p>
    <w:p>
      <w:pPr>
        <w:pStyle w:val="75"/>
        <w:keepNext w:val="0"/>
        <w:keepLines w:val="0"/>
        <w:pageBreakBefore w:val="0"/>
        <w:widowControl/>
        <w:numPr>
          <w:ilvl w:val="0"/>
          <w:numId w:val="6"/>
        </w:numPr>
        <w:kinsoku/>
        <w:wordWrap/>
        <w:overflowPunct/>
        <w:topLinePunct w:val="0"/>
        <w:autoSpaceDE/>
        <w:autoSpaceDN/>
        <w:bidi w:val="0"/>
        <w:adjustRightInd/>
        <w:snapToGrid/>
        <w:spacing w:after="60"/>
        <w:ind w:left="600" w:leftChars="0" w:hanging="363" w:firstLineChars="0"/>
        <w:textAlignment w:val="auto"/>
        <w:rPr>
          <w:i/>
          <w:iCs/>
          <w:color w:val="000000"/>
          <w:sz w:val="20"/>
          <w:szCs w:val="16"/>
          <w:lang w:eastAsia="zh-CN"/>
        </w:rPr>
      </w:pPr>
      <w:r>
        <w:rPr>
          <w:i/>
          <w:iCs/>
          <w:color w:val="000000"/>
          <w:sz w:val="20"/>
          <w:szCs w:val="16"/>
          <w:lang w:eastAsia="zh-CN"/>
        </w:rPr>
        <w:t>For neighbor cell measurement relaxation for UEs capable of LP-WUS, do not define additional MR-based criterion over the R16 criteria. RAN2 assume ‘UE not at cell edge’ is reused, FFS on ‘UE with low mobility’.</w:t>
      </w:r>
    </w:p>
    <w:p>
      <w:pPr>
        <w:pStyle w:val="75"/>
        <w:keepNext w:val="0"/>
        <w:keepLines w:val="0"/>
        <w:pageBreakBefore w:val="0"/>
        <w:widowControl/>
        <w:numPr>
          <w:ilvl w:val="0"/>
          <w:numId w:val="6"/>
        </w:numPr>
        <w:kinsoku/>
        <w:wordWrap/>
        <w:overflowPunct/>
        <w:topLinePunct w:val="0"/>
        <w:autoSpaceDE/>
        <w:autoSpaceDN/>
        <w:bidi w:val="0"/>
        <w:adjustRightInd/>
        <w:snapToGrid/>
        <w:spacing w:after="60"/>
        <w:ind w:left="600" w:leftChars="0" w:hanging="363" w:firstLineChars="0"/>
        <w:textAlignment w:val="auto"/>
        <w:rPr>
          <w:i/>
          <w:iCs/>
          <w:color w:val="000000"/>
          <w:sz w:val="20"/>
          <w:szCs w:val="16"/>
          <w:lang w:eastAsia="ko-KR"/>
        </w:rPr>
      </w:pPr>
      <w:r>
        <w:rPr>
          <w:i/>
          <w:iCs/>
          <w:color w:val="000000"/>
          <w:sz w:val="20"/>
          <w:szCs w:val="16"/>
          <w:lang w:eastAsia="zh-CN"/>
        </w:rPr>
        <w:t xml:space="preserve">FFS (if needed) on enhancements based on R16 criteria (e.g., based on the LR measurements) for the case when MR serving cell measurement results are not available. </w:t>
      </w:r>
    </w:p>
    <w:p>
      <w:pPr>
        <w:spacing w:before="60"/>
        <w:jc w:val="both"/>
        <w:rPr>
          <w:rFonts w:hint="eastAsia"/>
          <w:sz w:val="20"/>
          <w:szCs w:val="20"/>
          <w:lang w:val="en-US" w:eastAsia="zh-CN"/>
        </w:rPr>
      </w:pPr>
      <w:r>
        <w:rPr>
          <w:rFonts w:hint="eastAsia"/>
          <w:sz w:val="20"/>
          <w:szCs w:val="20"/>
          <w:lang w:val="en-US" w:eastAsia="zh-CN"/>
        </w:rPr>
        <w:t>Which type of threshold will be used for RRM measurement relaxation and offloading criteria should be decided by RAN2, it has already been under discussion. RAN4 should wait for more output from RAN2.</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3: RAN2 is responsible for the discussion of which type of threshold will be used for RRM measurement relaxation and offloading criteria.</w:t>
      </w:r>
    </w:p>
    <w:p>
      <w:pPr>
        <w:rPr>
          <w:rFonts w:hint="default"/>
          <w:b/>
          <w:color w:val="000000" w:themeColor="text1"/>
          <w:u w:val="single"/>
          <w:lang w:val="en-US" w:eastAsia="zh-CN"/>
          <w14:textFill>
            <w14:solidFill>
              <w14:schemeClr w14:val="tx1"/>
            </w14:solidFill>
          </w14:textFill>
        </w:rPr>
      </w:pPr>
    </w:p>
    <w:p>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1-1-8: LP-WUR operating carrier frequency</w:t>
      </w:r>
    </w:p>
    <w:p>
      <w:pPr>
        <w:rPr>
          <w:rFonts w:ascii="Times New Roman" w:hAnsi="Times New Roman" w:eastAsia="Batang"/>
          <w:i/>
          <w:iCs/>
          <w:sz w:val="20"/>
          <w:szCs w:val="20"/>
          <w:highlight w:val="green"/>
          <w:lang w:val="en-US" w:eastAsia="zh-CN" w:bidi="ar"/>
        </w:rPr>
      </w:pPr>
      <w:r>
        <w:rPr>
          <w:rFonts w:hint="eastAsia" w:ascii="Times New Roman" w:hAnsi="Times New Roman" w:eastAsia="Batang"/>
          <w:i/>
          <w:iCs/>
          <w:sz w:val="20"/>
          <w:szCs w:val="20"/>
          <w:highlight w:val="green"/>
          <w:lang w:val="en-US" w:eastAsia="zh-CN" w:bidi="ar"/>
        </w:rPr>
        <w:t>A</w:t>
      </w:r>
      <w:r>
        <w:rPr>
          <w:rFonts w:ascii="Times New Roman" w:hAnsi="Times New Roman" w:eastAsia="Batang"/>
          <w:i/>
          <w:iCs/>
          <w:sz w:val="20"/>
          <w:szCs w:val="20"/>
          <w:highlight w:val="green"/>
          <w:lang w:val="en-US" w:eastAsia="zh-CN" w:bidi="ar"/>
        </w:rPr>
        <w:t>greement:</w:t>
      </w:r>
    </w:p>
    <w:p>
      <w:pPr>
        <w:pStyle w:val="75"/>
        <w:keepNext w:val="0"/>
        <w:keepLines w:val="0"/>
        <w:pageBreakBefore w:val="0"/>
        <w:widowControl/>
        <w:numPr>
          <w:ilvl w:val="0"/>
          <w:numId w:val="6"/>
        </w:numPr>
        <w:kinsoku/>
        <w:wordWrap/>
        <w:overflowPunct/>
        <w:topLinePunct w:val="0"/>
        <w:autoSpaceDE/>
        <w:autoSpaceDN/>
        <w:bidi w:val="0"/>
        <w:adjustRightInd/>
        <w:snapToGrid/>
        <w:spacing w:after="60"/>
        <w:ind w:left="601" w:leftChars="0" w:hanging="363" w:firstLineChars="0"/>
        <w:textAlignment w:val="auto"/>
        <w:rPr>
          <w:i/>
          <w:iCs/>
          <w:color w:val="000000"/>
          <w:sz w:val="20"/>
          <w:szCs w:val="16"/>
          <w:lang w:eastAsia="zh-CN"/>
        </w:rPr>
      </w:pPr>
      <w:r>
        <w:rPr>
          <w:i/>
          <w:iCs/>
          <w:color w:val="000000"/>
          <w:sz w:val="20"/>
          <w:szCs w:val="16"/>
          <w:lang w:eastAsia="zh-CN"/>
        </w:rPr>
        <w:t>RAN4 will further discuss whether any technical issues regarding the LS from RAN1.</w:t>
      </w:r>
    </w:p>
    <w:p>
      <w:pPr>
        <w:pStyle w:val="75"/>
        <w:keepNext w:val="0"/>
        <w:keepLines w:val="0"/>
        <w:pageBreakBefore w:val="0"/>
        <w:widowControl/>
        <w:numPr>
          <w:ilvl w:val="0"/>
          <w:numId w:val="6"/>
        </w:numPr>
        <w:kinsoku/>
        <w:wordWrap/>
        <w:overflowPunct/>
        <w:topLinePunct w:val="0"/>
        <w:autoSpaceDE/>
        <w:autoSpaceDN/>
        <w:bidi w:val="0"/>
        <w:adjustRightInd/>
        <w:snapToGrid/>
        <w:spacing w:after="60"/>
        <w:ind w:left="600" w:leftChars="0" w:hanging="363" w:firstLineChars="0"/>
        <w:textAlignment w:val="auto"/>
        <w:rPr>
          <w:i/>
          <w:iCs/>
          <w:color w:val="000000"/>
          <w:sz w:val="20"/>
          <w:szCs w:val="16"/>
          <w:lang w:eastAsia="zh-CN"/>
        </w:rPr>
      </w:pPr>
      <w:r>
        <w:rPr>
          <w:i/>
          <w:iCs/>
          <w:color w:val="000000"/>
          <w:sz w:val="20"/>
          <w:szCs w:val="16"/>
          <w:lang w:eastAsia="zh-CN"/>
        </w:rPr>
        <w:t>From Rel-19 RAN4 RRM requirement of MR offloading and relaxation perspective, RAN4 assumed LR and MR are operating on the same carrier frequency as baseline. FFS for the case of MR and LR working on different carrier frequencies if it is supported in RAN1/2.</w:t>
      </w:r>
    </w:p>
    <w:p>
      <w:pPr>
        <w:keepNext w:val="0"/>
        <w:keepLines w:val="0"/>
        <w:pageBreakBefore w:val="0"/>
        <w:widowControl/>
        <w:kinsoku/>
        <w:wordWrap/>
        <w:overflowPunct/>
        <w:topLinePunct w:val="0"/>
        <w:autoSpaceDE/>
        <w:autoSpaceDN/>
        <w:bidi w:val="0"/>
        <w:adjustRightInd/>
        <w:snapToGrid w:val="0"/>
        <w:spacing w:after="60"/>
        <w:textAlignment w:val="auto"/>
        <w:rPr>
          <w:bCs/>
          <w:i/>
          <w:iCs/>
          <w:sz w:val="21"/>
          <w:szCs w:val="21"/>
          <w:highlight w:val="yellow"/>
          <w:lang w:eastAsia="zh-CN"/>
        </w:rPr>
      </w:pPr>
      <w:r>
        <w:rPr>
          <w:rFonts w:hint="eastAsia"/>
          <w:bCs/>
          <w:i/>
          <w:iCs/>
          <w:sz w:val="21"/>
          <w:szCs w:val="21"/>
          <w:highlight w:val="yellow"/>
          <w:lang w:eastAsia="zh-CN"/>
        </w:rPr>
        <w:t>I</w:t>
      </w:r>
      <w:r>
        <w:rPr>
          <w:bCs/>
          <w:i/>
          <w:iCs/>
          <w:sz w:val="21"/>
          <w:szCs w:val="21"/>
          <w:highlight w:val="yellow"/>
          <w:lang w:eastAsia="zh-CN"/>
        </w:rPr>
        <w:t>ssue for further discussion based on contribution driven:</w:t>
      </w:r>
    </w:p>
    <w:p>
      <w:pPr>
        <w:pStyle w:val="75"/>
        <w:keepNext w:val="0"/>
        <w:keepLines w:val="0"/>
        <w:pageBreakBefore w:val="0"/>
        <w:widowControl/>
        <w:numPr>
          <w:ilvl w:val="0"/>
          <w:numId w:val="6"/>
        </w:numPr>
        <w:kinsoku/>
        <w:wordWrap/>
        <w:overflowPunct/>
        <w:topLinePunct w:val="0"/>
        <w:autoSpaceDE/>
        <w:autoSpaceDN/>
        <w:bidi w:val="0"/>
        <w:adjustRightInd/>
        <w:snapToGrid/>
        <w:spacing w:after="60"/>
        <w:ind w:left="600" w:leftChars="0" w:hanging="363" w:firstLineChars="0"/>
        <w:textAlignment w:val="auto"/>
        <w:rPr>
          <w:i/>
          <w:iCs/>
          <w:color w:val="000000"/>
          <w:sz w:val="20"/>
          <w:szCs w:val="16"/>
          <w:lang w:eastAsia="zh-CN"/>
        </w:rPr>
      </w:pPr>
      <w:r>
        <w:rPr>
          <w:i/>
          <w:iCs/>
          <w:color w:val="000000"/>
          <w:sz w:val="20"/>
          <w:szCs w:val="16"/>
          <w:lang w:eastAsia="zh-CN"/>
        </w:rPr>
        <w:t>For WUS monitoring assumption, further discuss whether or not the same carrier frequency is assumed for LR and MR.]</w:t>
      </w:r>
    </w:p>
    <w:p>
      <w:pPr>
        <w:snapToGrid w:val="0"/>
        <w:rPr>
          <w:rFonts w:hint="eastAsia"/>
          <w:bCs/>
          <w:i/>
          <w:iCs/>
          <w:sz w:val="21"/>
          <w:szCs w:val="21"/>
          <w:highlight w:val="yellow"/>
          <w:lang w:val="en-US" w:eastAsia="zh-CN"/>
        </w:rPr>
      </w:pPr>
      <w:r>
        <w:rPr>
          <w:rFonts w:hint="eastAsia"/>
          <w:bCs/>
          <w:i/>
          <w:iCs/>
          <w:sz w:val="21"/>
          <w:szCs w:val="21"/>
          <w:highlight w:val="yellow"/>
          <w:lang w:val="en-US" w:eastAsia="zh-CN"/>
        </w:rPr>
        <w:t>LS from RAN1#118 R1-2407559</w:t>
      </w:r>
    </w:p>
    <w:tbl>
      <w:tblPr>
        <w:tblStyle w:val="21"/>
        <w:tblW w:w="0" w:type="auto"/>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5" w:type="dxa"/>
          </w:tcPr>
          <w:p>
            <w:pPr>
              <w:numPr>
                <w:ilvl w:val="0"/>
                <w:numId w:val="0"/>
              </w:numPr>
              <w:spacing w:before="60"/>
              <w:jc w:val="both"/>
              <w:rPr>
                <w:rFonts w:hint="default"/>
                <w:i/>
                <w:iCs/>
                <w:sz w:val="20"/>
                <w:szCs w:val="20"/>
                <w:vertAlign w:val="baseline"/>
                <w:lang w:val="en-US" w:eastAsia="zh-CN"/>
              </w:rPr>
            </w:pPr>
            <w:r>
              <w:rPr>
                <w:rFonts w:hint="default"/>
                <w:i/>
                <w:iCs/>
                <w:sz w:val="20"/>
                <w:szCs w:val="20"/>
                <w:vertAlign w:val="baseline"/>
                <w:lang w:val="en-US" w:eastAsia="zh-CN"/>
              </w:rPr>
              <w:t>In RAN1, the common understanding is that UE may not support LP-WUS reception on all the bands supported by the UE.</w:t>
            </w:r>
          </w:p>
          <w:p>
            <w:pPr>
              <w:numPr>
                <w:ilvl w:val="0"/>
                <w:numId w:val="0"/>
              </w:numPr>
              <w:spacing w:before="60"/>
              <w:jc w:val="both"/>
              <w:rPr>
                <w:rFonts w:hint="default"/>
                <w:i/>
                <w:iCs/>
                <w:sz w:val="20"/>
                <w:szCs w:val="20"/>
                <w:vertAlign w:val="baseline"/>
                <w:lang w:val="en-US" w:eastAsia="zh-CN"/>
              </w:rPr>
            </w:pPr>
            <w:r>
              <w:rPr>
                <w:rFonts w:hint="default"/>
                <w:i/>
                <w:iCs/>
                <w:sz w:val="20"/>
                <w:szCs w:val="20"/>
                <w:vertAlign w:val="baseline"/>
                <w:lang w:val="en-US" w:eastAsia="zh-CN"/>
              </w:rPr>
              <w:t>RAN1 respectfully asks RAN2 and RAN4 to check if there is any issue and specification support needed for IDLE/INACTIVE UEs.</w:t>
            </w:r>
          </w:p>
          <w:p>
            <w:pPr>
              <w:spacing w:after="120"/>
              <w:ind w:left="1985" w:hanging="1985"/>
              <w:rPr>
                <w:rFonts w:ascii="Arial" w:hAnsi="Arial" w:cs="Arial"/>
                <w:b/>
                <w:i/>
                <w:iCs/>
                <w:sz w:val="20"/>
                <w:szCs w:val="20"/>
              </w:rPr>
            </w:pPr>
            <w:r>
              <w:rPr>
                <w:rFonts w:ascii="Arial" w:hAnsi="Arial" w:cs="Arial"/>
                <w:b/>
                <w:i/>
                <w:iCs/>
                <w:sz w:val="20"/>
                <w:szCs w:val="20"/>
              </w:rPr>
              <w:t>To RAN2 and RAN4:</w:t>
            </w:r>
          </w:p>
          <w:p>
            <w:pPr>
              <w:spacing w:after="120"/>
              <w:ind w:left="993" w:hanging="993"/>
              <w:rPr>
                <w:rFonts w:hint="default"/>
                <w:sz w:val="21"/>
                <w:szCs w:val="21"/>
                <w:vertAlign w:val="baseline"/>
                <w:lang w:val="en-US" w:eastAsia="zh-CN"/>
              </w:rPr>
            </w:pPr>
            <w:r>
              <w:rPr>
                <w:rFonts w:ascii="Arial" w:hAnsi="Arial" w:cs="Arial"/>
                <w:b/>
                <w:i/>
                <w:iCs/>
                <w:sz w:val="20"/>
                <w:szCs w:val="20"/>
              </w:rPr>
              <w:t xml:space="preserve">ACTION: </w:t>
            </w:r>
            <w:r>
              <w:rPr>
                <w:rFonts w:ascii="Arial" w:hAnsi="Arial" w:cs="Arial"/>
                <w:b/>
                <w:i/>
                <w:iCs/>
                <w:sz w:val="20"/>
                <w:szCs w:val="20"/>
              </w:rPr>
              <w:tab/>
            </w:r>
            <w:r>
              <w:rPr>
                <w:rFonts w:ascii="Arial" w:hAnsi="Arial" w:cs="Arial"/>
                <w:i/>
                <w:iCs/>
                <w:sz w:val="20"/>
                <w:szCs w:val="20"/>
              </w:rPr>
              <w:t>RAN1 respectfully asks RAN2 and RAN4 to check if there is any issue and specification support needed for IDLE/INACTIVE UEs.</w:t>
            </w:r>
          </w:p>
        </w:tc>
      </w:tr>
    </w:tbl>
    <w:p>
      <w:pPr>
        <w:numPr>
          <w:ilvl w:val="0"/>
          <w:numId w:val="0"/>
        </w:numPr>
        <w:spacing w:before="60"/>
        <w:jc w:val="both"/>
        <w:rPr>
          <w:rFonts w:hint="eastAsia"/>
          <w:sz w:val="20"/>
          <w:szCs w:val="20"/>
          <w:vertAlign w:val="baseline"/>
          <w:lang w:val="en-US" w:eastAsia="zh-CN"/>
        </w:rPr>
      </w:pPr>
      <w:r>
        <w:rPr>
          <w:rFonts w:hint="eastAsia"/>
          <w:sz w:val="21"/>
          <w:szCs w:val="21"/>
          <w:lang w:val="en-US" w:eastAsia="zh-CN"/>
        </w:rPr>
        <w:t xml:space="preserve">Firstly, from LR RF capability, low-cost, and low power consumption point of view, we also think </w:t>
      </w:r>
      <w:r>
        <w:rPr>
          <w:rFonts w:hint="default"/>
          <w:sz w:val="20"/>
          <w:szCs w:val="20"/>
          <w:vertAlign w:val="baseline"/>
          <w:lang w:val="en-US" w:eastAsia="zh-CN"/>
        </w:rPr>
        <w:t xml:space="preserve">UE </w:t>
      </w:r>
      <w:r>
        <w:rPr>
          <w:rFonts w:hint="eastAsia"/>
          <w:sz w:val="20"/>
          <w:szCs w:val="20"/>
          <w:vertAlign w:val="baseline"/>
          <w:lang w:val="en-US" w:eastAsia="zh-CN"/>
        </w:rPr>
        <w:t xml:space="preserve">LR </w:t>
      </w:r>
      <w:r>
        <w:rPr>
          <w:rFonts w:hint="default"/>
          <w:sz w:val="20"/>
          <w:szCs w:val="20"/>
          <w:vertAlign w:val="baseline"/>
          <w:lang w:val="en-US" w:eastAsia="zh-CN"/>
        </w:rPr>
        <w:t>may not support LP-WUS reception</w:t>
      </w:r>
      <w:r>
        <w:rPr>
          <w:rFonts w:hint="eastAsia"/>
          <w:sz w:val="20"/>
          <w:szCs w:val="20"/>
          <w:vertAlign w:val="baseline"/>
          <w:lang w:val="en-US" w:eastAsia="zh-CN"/>
        </w:rPr>
        <w:t xml:space="preserve">/LP-SS measurement </w:t>
      </w:r>
      <w:r>
        <w:rPr>
          <w:rFonts w:hint="default"/>
          <w:sz w:val="20"/>
          <w:szCs w:val="20"/>
          <w:vertAlign w:val="baseline"/>
          <w:lang w:val="en-US" w:eastAsia="zh-CN"/>
        </w:rPr>
        <w:t>on all the bands supported by the UE</w:t>
      </w:r>
      <w:r>
        <w:rPr>
          <w:rFonts w:hint="eastAsia"/>
          <w:sz w:val="20"/>
          <w:szCs w:val="20"/>
          <w:vertAlign w:val="baseline"/>
          <w:lang w:val="en-US" w:eastAsia="zh-CN"/>
        </w:rPr>
        <w:t xml:space="preserve"> MR</w:t>
      </w:r>
      <w:r>
        <w:rPr>
          <w:rFonts w:hint="default"/>
          <w:sz w:val="20"/>
          <w:szCs w:val="20"/>
          <w:vertAlign w:val="baseline"/>
          <w:lang w:val="en-US" w:eastAsia="zh-CN"/>
        </w:rPr>
        <w:t>.</w:t>
      </w:r>
      <w:r>
        <w:rPr>
          <w:rFonts w:hint="eastAsia"/>
          <w:sz w:val="20"/>
          <w:szCs w:val="20"/>
          <w:vertAlign w:val="baseline"/>
          <w:lang w:val="en-US" w:eastAsia="zh-CN"/>
        </w:rPr>
        <w:t xml:space="preserve"> The common understanding from RAN1 is confirmed.</w:t>
      </w:r>
    </w:p>
    <w:p>
      <w:pPr>
        <w:numPr>
          <w:ilvl w:val="0"/>
          <w:numId w:val="0"/>
        </w:numPr>
        <w:spacing w:before="60"/>
        <w:jc w:val="both"/>
        <w:rPr>
          <w:rFonts w:hint="eastAsia"/>
          <w:sz w:val="20"/>
          <w:szCs w:val="20"/>
          <w:vertAlign w:val="baseline"/>
          <w:lang w:val="en-US" w:eastAsia="zh-CN"/>
        </w:rPr>
      </w:pPr>
      <w:r>
        <w:rPr>
          <w:rFonts w:hint="eastAsia"/>
          <w:sz w:val="20"/>
          <w:szCs w:val="20"/>
          <w:vertAlign w:val="baseline"/>
          <w:lang w:val="en-US" w:eastAsia="zh-CN"/>
        </w:rPr>
        <w:t>If MR camps on one serving cell, which operating band can not be supported by LR, we think there are two kinds of reasonable UE behavior, and their respective pros and cons are as follows:</w:t>
      </w:r>
    </w:p>
    <w:p>
      <w:pPr>
        <w:numPr>
          <w:ilvl w:val="0"/>
          <w:numId w:val="9"/>
        </w:numPr>
        <w:spacing w:before="60"/>
        <w:jc w:val="both"/>
        <w:rPr>
          <w:rFonts w:hint="eastAsia"/>
          <w:sz w:val="20"/>
          <w:szCs w:val="20"/>
          <w:vertAlign w:val="baseline"/>
          <w:lang w:val="en-US" w:eastAsia="zh-CN"/>
        </w:rPr>
      </w:pPr>
      <w:r>
        <w:rPr>
          <w:rFonts w:hint="eastAsia"/>
          <w:sz w:val="20"/>
          <w:szCs w:val="20"/>
          <w:vertAlign w:val="baseline"/>
          <w:lang w:val="en-US" w:eastAsia="zh-CN"/>
        </w:rPr>
        <w:t>The LR based LP-WUS reception/LP-SS measurement can not be enabled</w:t>
      </w:r>
    </w:p>
    <w:p>
      <w:pPr>
        <w:numPr>
          <w:ilvl w:val="1"/>
          <w:numId w:val="9"/>
        </w:numPr>
        <w:spacing w:before="60"/>
        <w:ind w:left="840" w:leftChars="0" w:hanging="420" w:firstLineChars="0"/>
        <w:jc w:val="both"/>
        <w:rPr>
          <w:rFonts w:hint="eastAsia"/>
          <w:sz w:val="20"/>
          <w:szCs w:val="20"/>
          <w:vertAlign w:val="baseline"/>
          <w:lang w:val="en-US" w:eastAsia="zh-CN"/>
        </w:rPr>
      </w:pPr>
      <w:r>
        <w:rPr>
          <w:rFonts w:hint="eastAsia"/>
          <w:sz w:val="20"/>
          <w:szCs w:val="20"/>
          <w:vertAlign w:val="baseline"/>
          <w:lang w:val="en-US" w:eastAsia="zh-CN"/>
        </w:rPr>
        <w:t>Pros: No additional specification support is needed.</w:t>
      </w:r>
    </w:p>
    <w:p>
      <w:pPr>
        <w:numPr>
          <w:ilvl w:val="1"/>
          <w:numId w:val="9"/>
        </w:numPr>
        <w:spacing w:before="60"/>
        <w:ind w:left="840" w:leftChars="0" w:hanging="420" w:firstLineChars="0"/>
        <w:jc w:val="both"/>
        <w:rPr>
          <w:rFonts w:hint="eastAsia"/>
          <w:sz w:val="20"/>
          <w:szCs w:val="20"/>
          <w:vertAlign w:val="baseline"/>
          <w:lang w:val="en-US" w:eastAsia="zh-CN"/>
        </w:rPr>
      </w:pPr>
      <w:r>
        <w:rPr>
          <w:rFonts w:hint="eastAsia"/>
          <w:sz w:val="20"/>
          <w:szCs w:val="20"/>
          <w:vertAlign w:val="baseline"/>
          <w:lang w:val="en-US" w:eastAsia="zh-CN"/>
        </w:rPr>
        <w:t>Cons: Network should configure LP-WUS/LP-SS on each carrier frequency, or else, LR may not be workable in some areas, which will cause large network overhead.</w:t>
      </w:r>
    </w:p>
    <w:p>
      <w:pPr>
        <w:numPr>
          <w:ilvl w:val="0"/>
          <w:numId w:val="9"/>
        </w:numPr>
        <w:spacing w:before="60"/>
        <w:jc w:val="both"/>
        <w:rPr>
          <w:rFonts w:hint="eastAsia"/>
          <w:sz w:val="20"/>
          <w:szCs w:val="20"/>
          <w:vertAlign w:val="baseline"/>
          <w:lang w:val="en-US" w:eastAsia="zh-CN"/>
        </w:rPr>
      </w:pPr>
      <w:r>
        <w:rPr>
          <w:rFonts w:hint="eastAsia"/>
          <w:sz w:val="20"/>
          <w:szCs w:val="20"/>
          <w:vertAlign w:val="baseline"/>
          <w:lang w:val="en-US" w:eastAsia="zh-CN"/>
        </w:rPr>
        <w:t>The LR based LP-SS measurement can not be enabled, but LR based LP-WUS reception can be performed on the carrier frequency which LR supported.</w:t>
      </w:r>
    </w:p>
    <w:p>
      <w:pPr>
        <w:numPr>
          <w:ilvl w:val="1"/>
          <w:numId w:val="9"/>
        </w:numPr>
        <w:spacing w:before="60"/>
        <w:ind w:left="840" w:leftChars="0" w:hanging="420" w:firstLineChars="0"/>
        <w:jc w:val="both"/>
        <w:rPr>
          <w:rFonts w:hint="eastAsia"/>
          <w:sz w:val="20"/>
          <w:szCs w:val="20"/>
          <w:vertAlign w:val="baseline"/>
          <w:lang w:val="en-US" w:eastAsia="zh-CN"/>
        </w:rPr>
      </w:pPr>
      <w:r>
        <w:rPr>
          <w:rFonts w:hint="eastAsia"/>
          <w:sz w:val="20"/>
          <w:szCs w:val="20"/>
          <w:vertAlign w:val="baseline"/>
          <w:lang w:val="en-US" w:eastAsia="zh-CN"/>
        </w:rPr>
        <w:t>Pros: Network only be required to configure LP-WUS on the carrier frequency of bottom network, or the carrier frequency widely supported by UE</w:t>
      </w:r>
      <w:r>
        <w:rPr>
          <w:rFonts w:hint="default"/>
          <w:sz w:val="20"/>
          <w:szCs w:val="20"/>
          <w:vertAlign w:val="baseline"/>
          <w:lang w:val="en-US" w:eastAsia="zh-CN"/>
        </w:rPr>
        <w:t>’</w:t>
      </w:r>
      <w:r>
        <w:rPr>
          <w:rFonts w:hint="eastAsia"/>
          <w:sz w:val="20"/>
          <w:szCs w:val="20"/>
          <w:vertAlign w:val="baseline"/>
          <w:lang w:val="en-US" w:eastAsia="zh-CN"/>
        </w:rPr>
        <w:t>s LR. The network overhead can be saved a lot. Compared to the first UE behavior, no additional UE power consumption is needed.</w:t>
      </w:r>
    </w:p>
    <w:p>
      <w:pPr>
        <w:numPr>
          <w:ilvl w:val="1"/>
          <w:numId w:val="9"/>
        </w:numPr>
        <w:spacing w:before="60"/>
        <w:ind w:left="840" w:leftChars="0" w:hanging="420" w:firstLineChars="0"/>
        <w:jc w:val="both"/>
        <w:rPr>
          <w:rFonts w:hint="eastAsia"/>
          <w:sz w:val="20"/>
          <w:szCs w:val="20"/>
          <w:vertAlign w:val="baseline"/>
          <w:lang w:val="en-US" w:eastAsia="zh-CN"/>
        </w:rPr>
      </w:pPr>
      <w:r>
        <w:rPr>
          <w:rFonts w:hint="eastAsia"/>
          <w:sz w:val="20"/>
          <w:szCs w:val="20"/>
          <w:vertAlign w:val="baseline"/>
          <w:lang w:val="en-US" w:eastAsia="zh-CN"/>
        </w:rPr>
        <w:t>Cons: Additional specification support may be needed.</w:t>
      </w:r>
    </w:p>
    <w:p>
      <w:pPr>
        <w:numPr>
          <w:ilvl w:val="0"/>
          <w:numId w:val="0"/>
        </w:numPr>
        <w:spacing w:before="60"/>
        <w:jc w:val="both"/>
        <w:rPr>
          <w:rFonts w:hint="default"/>
          <w:sz w:val="20"/>
          <w:szCs w:val="20"/>
          <w:vertAlign w:val="baseline"/>
          <w:lang w:val="en-US" w:eastAsia="zh-CN"/>
        </w:rPr>
      </w:pPr>
      <w:r>
        <w:rPr>
          <w:rFonts w:hint="eastAsia"/>
          <w:sz w:val="20"/>
          <w:szCs w:val="20"/>
          <w:vertAlign w:val="baseline"/>
          <w:lang w:val="en-US" w:eastAsia="zh-CN"/>
        </w:rPr>
        <w:t>Considering the second UE behavior can bring benefits to network overhead, meanwhile no additional UE effort and power consumption needed, we support to further investigate, and feedback RAN4</w:t>
      </w:r>
      <w:r>
        <w:rPr>
          <w:rFonts w:hint="default"/>
          <w:sz w:val="20"/>
          <w:szCs w:val="20"/>
          <w:vertAlign w:val="baseline"/>
          <w:lang w:val="en-US" w:eastAsia="zh-CN"/>
        </w:rPr>
        <w:t>’</w:t>
      </w:r>
      <w:r>
        <w:rPr>
          <w:rFonts w:hint="eastAsia"/>
          <w:sz w:val="20"/>
          <w:szCs w:val="20"/>
          <w:vertAlign w:val="baseline"/>
          <w:lang w:val="en-US" w:eastAsia="zh-CN"/>
        </w:rPr>
        <w:t>s observation to RAN1.</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4: When LR doesn</w:t>
      </w:r>
      <w:r>
        <w:rPr>
          <w:rFonts w:hint="default"/>
          <w:b/>
          <w:bCs/>
          <w:i/>
          <w:iCs/>
          <w:sz w:val="20"/>
          <w:szCs w:val="20"/>
          <w:lang w:val="en-US" w:eastAsia="zh-CN"/>
        </w:rPr>
        <w:t>’</w:t>
      </w:r>
      <w:r>
        <w:rPr>
          <w:rFonts w:hint="eastAsia"/>
          <w:b/>
          <w:bCs/>
          <w:i/>
          <w:iCs/>
          <w:sz w:val="20"/>
          <w:szCs w:val="20"/>
          <w:lang w:val="en-US" w:eastAsia="zh-CN"/>
        </w:rPr>
        <w:t>t support the serving cell</w:t>
      </w:r>
      <w:r>
        <w:rPr>
          <w:rFonts w:hint="default"/>
          <w:b/>
          <w:bCs/>
          <w:i/>
          <w:iCs/>
          <w:sz w:val="20"/>
          <w:szCs w:val="20"/>
          <w:lang w:val="en-US" w:eastAsia="zh-CN"/>
        </w:rPr>
        <w:t>’</w:t>
      </w:r>
      <w:r>
        <w:rPr>
          <w:rFonts w:hint="eastAsia"/>
          <w:b/>
          <w:bCs/>
          <w:i/>
          <w:iCs/>
          <w:sz w:val="20"/>
          <w:szCs w:val="20"/>
          <w:lang w:val="en-US" w:eastAsia="zh-CN"/>
        </w:rPr>
        <w:t>s operating band, LP-WUS reception can be performed on the other carrier supported by LR. The details e.g., where and how LR monitor the LP-WUS may need additional specification support. This part should be studied in RAN1 first.</w:t>
      </w:r>
    </w:p>
    <w:p>
      <w:pPr>
        <w:rPr>
          <w:rFonts w:hint="default"/>
          <w:b/>
          <w:color w:val="000000" w:themeColor="text1"/>
          <w:u w:val="single"/>
          <w:lang w:val="en-US" w:eastAsia="zh-CN"/>
          <w14:textFill>
            <w14:solidFill>
              <w14:schemeClr w14:val="tx1"/>
            </w14:solidFill>
          </w14:textFill>
        </w:rPr>
      </w:pPr>
    </w:p>
    <w:p>
      <w:pPr>
        <w:rPr>
          <w:b/>
          <w:i/>
          <w:iCs/>
          <w:color w:val="000000" w:themeColor="text1"/>
          <w:sz w:val="20"/>
          <w:szCs w:val="20"/>
          <w:u w:val="single"/>
          <w:lang w:eastAsia="ko-KR"/>
          <w14:textFill>
            <w14:solidFill>
              <w14:schemeClr w14:val="tx1"/>
            </w14:solidFill>
          </w14:textFill>
        </w:rPr>
      </w:pPr>
      <w:r>
        <w:rPr>
          <w:b/>
          <w:i/>
          <w:iCs/>
          <w:color w:val="000000" w:themeColor="text1"/>
          <w:sz w:val="20"/>
          <w:szCs w:val="20"/>
          <w:u w:val="single"/>
          <w:lang w:eastAsia="ko-KR"/>
          <w14:textFill>
            <w14:solidFill>
              <w14:schemeClr w14:val="tx1"/>
            </w14:solidFill>
          </w14:textFill>
        </w:rPr>
        <w:t>Issue 1-1-</w:t>
      </w:r>
      <w:r>
        <w:rPr>
          <w:b/>
          <w:i/>
          <w:iCs/>
          <w:color w:val="000000" w:themeColor="text1"/>
          <w:sz w:val="20"/>
          <w:szCs w:val="20"/>
          <w:u w:val="single"/>
          <w:lang w:eastAsia="zh-CN"/>
          <w14:textFill>
            <w14:solidFill>
              <w14:schemeClr w14:val="tx1"/>
            </w14:solidFill>
          </w14:textFill>
        </w:rPr>
        <w:t>10</w:t>
      </w:r>
      <w:r>
        <w:rPr>
          <w:b/>
          <w:i/>
          <w:iCs/>
          <w:color w:val="000000" w:themeColor="text1"/>
          <w:sz w:val="20"/>
          <w:szCs w:val="20"/>
          <w:u w:val="single"/>
          <w:lang w:eastAsia="ko-KR"/>
          <w14:textFill>
            <w14:solidFill>
              <w14:schemeClr w14:val="tx1"/>
            </w14:solidFill>
          </w14:textFill>
        </w:rPr>
        <w:t xml:space="preserve">: </w:t>
      </w:r>
      <w:r>
        <w:rPr>
          <w:rFonts w:hint="eastAsia"/>
          <w:b/>
          <w:i/>
          <w:iCs/>
          <w:color w:val="000000" w:themeColor="text1"/>
          <w:sz w:val="20"/>
          <w:szCs w:val="20"/>
          <w:u w:val="single"/>
          <w:lang w:eastAsia="zh-CN"/>
          <w14:textFill>
            <w14:solidFill>
              <w14:schemeClr w14:val="tx1"/>
            </w14:solidFill>
          </w14:textFill>
        </w:rPr>
        <w:t>Considerations on higher priority frequency layer</w:t>
      </w:r>
      <w:r>
        <w:rPr>
          <w:b/>
          <w:i/>
          <w:iCs/>
          <w:color w:val="000000" w:themeColor="text1"/>
          <w:sz w:val="20"/>
          <w:szCs w:val="20"/>
          <w:u w:val="single"/>
          <w:lang w:eastAsia="ko-KR"/>
          <w14:textFill>
            <w14:solidFill>
              <w14:schemeClr w14:val="tx1"/>
            </w14:solidFill>
          </w14:textFill>
        </w:rPr>
        <w:t xml:space="preserve"> </w:t>
      </w:r>
    </w:p>
    <w:p>
      <w:pPr>
        <w:spacing w:before="60"/>
        <w:jc w:val="both"/>
        <w:rPr>
          <w:rFonts w:hint="eastAsia"/>
          <w:sz w:val="20"/>
          <w:szCs w:val="20"/>
          <w:lang w:val="en-US" w:eastAsia="zh-CN"/>
        </w:rPr>
      </w:pPr>
      <w:r>
        <w:rPr>
          <w:rFonts w:hint="eastAsia"/>
          <w:sz w:val="20"/>
          <w:szCs w:val="20"/>
          <w:lang w:val="en-US" w:eastAsia="zh-CN"/>
        </w:rPr>
        <w:t>Currently, higher priority frequency layer can be configured by network, to carry the capacity. Whether exist high priority frequency layer is highly related with the operator</w:t>
      </w:r>
      <w:r>
        <w:rPr>
          <w:rFonts w:hint="default"/>
          <w:sz w:val="20"/>
          <w:szCs w:val="20"/>
          <w:lang w:val="en-US" w:eastAsia="zh-CN"/>
        </w:rPr>
        <w:t>’</w:t>
      </w:r>
      <w:r>
        <w:rPr>
          <w:rFonts w:hint="eastAsia"/>
          <w:sz w:val="20"/>
          <w:szCs w:val="20"/>
          <w:lang w:val="en-US" w:eastAsia="zh-CN"/>
        </w:rPr>
        <w:t>s deployment strategy considering different network scenario.</w:t>
      </w:r>
    </w:p>
    <w:p>
      <w:pPr>
        <w:spacing w:before="60"/>
        <w:jc w:val="both"/>
        <w:rPr>
          <w:rFonts w:hint="eastAsia"/>
          <w:sz w:val="20"/>
          <w:szCs w:val="20"/>
          <w:lang w:val="en-US" w:eastAsia="zh-CN"/>
        </w:rPr>
      </w:pPr>
      <w:r>
        <w:rPr>
          <w:rFonts w:hint="eastAsia"/>
          <w:sz w:val="20"/>
          <w:szCs w:val="20"/>
          <w:lang w:val="en-US" w:eastAsia="zh-CN"/>
        </w:rPr>
        <w:t>Since high priority frequency layer is always the inter-frequency layer, thus, it can only be monitored by MR. Then, when MR fully offloading to LR, i.e., only LR perform the measurement, how does UE perform the higher-layer frequency measurement should be further discussed.</w:t>
      </w:r>
    </w:p>
    <w:p>
      <w:pPr>
        <w:spacing w:before="60"/>
        <w:jc w:val="both"/>
        <w:rPr>
          <w:rFonts w:hint="eastAsia"/>
          <w:sz w:val="20"/>
          <w:szCs w:val="20"/>
          <w:lang w:val="en-US" w:eastAsia="zh-CN"/>
        </w:rPr>
      </w:pPr>
      <w:r>
        <w:rPr>
          <w:rFonts w:hint="eastAsia"/>
          <w:sz w:val="20"/>
          <w:szCs w:val="20"/>
          <w:lang w:val="en-US" w:eastAsia="zh-CN"/>
        </w:rPr>
        <w:t>In our perspective, as long as network configure such higher priority layer, UE should monitor it for possible cell re-selection. In current spec, UE is required to monitor per higher priority layer within 60s if no relaxation applied, and within 1h if relaxation applied. When fulling offloading case happens (Case#1), in order to guarantee UE power saving gain, we think the relaxed higher priority layer measurement requirement can be applied. When partial offloading case happens (Case#3), we are open to discuss which higher priority layer measurement requirement should be applied.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5: As long as network configure such higher priority layer, UE should monitor it for possible cell-re selection</w:t>
      </w:r>
    </w:p>
    <w:p>
      <w:pPr>
        <w:numPr>
          <w:ilvl w:val="0"/>
          <w:numId w:val="10"/>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When fulling offloading case happens (Case#1), the relaxed higher priority layer measurement requirement can be applied, i.e., per higher priority layer within 1h</w:t>
      </w:r>
    </w:p>
    <w:p>
      <w:pPr>
        <w:numPr>
          <w:ilvl w:val="0"/>
          <w:numId w:val="10"/>
        </w:numPr>
        <w:spacing w:before="6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When partial offloading case happens (Case#3), open to further discuss which higher priority layer measurement requirement should be applied</w:t>
      </w:r>
    </w:p>
    <w:p>
      <w:pPr>
        <w:rPr>
          <w:rFonts w:hint="default"/>
          <w:b/>
          <w:color w:val="000000" w:themeColor="text1"/>
          <w:u w:val="single"/>
          <w:lang w:val="en-US" w:eastAsia="zh-CN"/>
          <w14:textFill>
            <w14:solidFill>
              <w14:schemeClr w14:val="tx1"/>
            </w14:solidFill>
          </w14:textFill>
        </w:rPr>
      </w:pPr>
    </w:p>
    <w:p>
      <w:pPr>
        <w:rPr>
          <w:rFonts w:hint="eastAsia"/>
          <w:b/>
          <w:i/>
          <w:iCs/>
          <w:color w:val="000000" w:themeColor="text1"/>
          <w:sz w:val="20"/>
          <w:szCs w:val="20"/>
          <w:u w:val="single"/>
          <w:lang w:val="en-US" w:eastAsia="ko-KR"/>
          <w14:textFill>
            <w14:solidFill>
              <w14:schemeClr w14:val="tx1"/>
            </w14:solidFill>
          </w14:textFill>
        </w:rPr>
      </w:pPr>
      <w:r>
        <w:rPr>
          <w:rFonts w:hint="eastAsia"/>
          <w:b/>
          <w:i/>
          <w:iCs/>
          <w:color w:val="000000" w:themeColor="text1"/>
          <w:sz w:val="20"/>
          <w:szCs w:val="20"/>
          <w:u w:val="single"/>
          <w:lang w:val="en-US" w:eastAsia="ko-KR"/>
          <w14:textFill>
            <w14:solidFill>
              <w14:schemeClr w14:val="tx1"/>
            </w14:solidFill>
          </w14:textFill>
        </w:rPr>
        <w:t xml:space="preserve">Issue 1-2-1: Accuracy requirements  </w:t>
      </w:r>
    </w:p>
    <w:p>
      <w:pPr>
        <w:spacing w:before="60"/>
        <w:jc w:val="both"/>
        <w:rPr>
          <w:rFonts w:hint="eastAsia"/>
          <w:sz w:val="20"/>
          <w:szCs w:val="20"/>
          <w:lang w:val="en-US" w:eastAsia="zh-CN"/>
        </w:rPr>
      </w:pPr>
      <w:r>
        <w:rPr>
          <w:rFonts w:hint="eastAsia"/>
          <w:sz w:val="20"/>
          <w:szCs w:val="20"/>
          <w:lang w:val="en-US" w:eastAsia="zh-CN"/>
        </w:rPr>
        <w:t>About the IDLE/Inactive mode measurement accuracy, we support to reuse the legacy method, that reflect the accuracy performance as a margin in the core requirement, no need to define it in the performance section.</w:t>
      </w:r>
    </w:p>
    <w:p>
      <w:pPr>
        <w:numPr>
          <w:ilvl w:val="0"/>
          <w:numId w:val="0"/>
        </w:numPr>
        <w:spacing w:before="60"/>
        <w:jc w:val="both"/>
        <w:rPr>
          <w:rFonts w:hint="default" w:eastAsia="宋体"/>
          <w:color w:val="000000" w:themeColor="text1"/>
          <w:szCs w:val="24"/>
          <w:lang w:val="en-US" w:eastAsia="zh-CN"/>
          <w14:textFill>
            <w14:solidFill>
              <w14:schemeClr w14:val="tx1"/>
            </w14:solidFill>
          </w14:textFill>
        </w:rPr>
      </w:pPr>
      <w:r>
        <w:rPr>
          <w:rFonts w:hint="eastAsia"/>
          <w:b/>
          <w:bCs/>
          <w:i/>
          <w:iCs/>
          <w:sz w:val="20"/>
          <w:szCs w:val="20"/>
          <w:lang w:val="en-US" w:eastAsia="zh-CN"/>
        </w:rPr>
        <w:t>Proposal 6: For IDLE/Inactive mode measurement accuracy, reflect the accuracy performance as a margin in the core requirement.</w:t>
      </w:r>
    </w:p>
    <w:p>
      <w:pPr>
        <w:rPr>
          <w:rFonts w:hint="eastAsia"/>
          <w:b/>
          <w:color w:val="000000" w:themeColor="text1"/>
          <w:u w:val="single"/>
          <w:lang w:val="en-US" w:eastAsia="zh-CN"/>
          <w14:textFill>
            <w14:solidFill>
              <w14:schemeClr w14:val="tx1"/>
            </w14:solidFill>
          </w14:textFill>
        </w:rPr>
      </w:pPr>
    </w:p>
    <w:p>
      <w:pPr>
        <w:rPr>
          <w:rFonts w:hint="eastAsia"/>
          <w:b/>
          <w:i/>
          <w:iCs/>
          <w:color w:val="000000" w:themeColor="text1"/>
          <w:sz w:val="20"/>
          <w:szCs w:val="20"/>
          <w:u w:val="single"/>
          <w:lang w:val="en-US" w:eastAsia="zh-CN"/>
          <w14:textFill>
            <w14:solidFill>
              <w14:schemeClr w14:val="tx1"/>
            </w14:solidFill>
          </w14:textFill>
        </w:rPr>
      </w:pPr>
      <w:r>
        <w:rPr>
          <w:rFonts w:hint="eastAsia"/>
          <w:b/>
          <w:i/>
          <w:iCs/>
          <w:color w:val="000000" w:themeColor="text1"/>
          <w:sz w:val="20"/>
          <w:szCs w:val="20"/>
          <w:u w:val="single"/>
          <w:lang w:val="en-US" w:eastAsia="ko-KR"/>
          <w14:textFill>
            <w14:solidFill>
              <w14:schemeClr w14:val="tx1"/>
            </w14:solidFill>
          </w14:textFill>
        </w:rPr>
        <w:t>Issue 1-2-2: On requirements for entry/exit criteria evaluation for WUS paging monitoring</w:t>
      </w:r>
      <w:r>
        <w:rPr>
          <w:rFonts w:hint="eastAsia"/>
          <w:b/>
          <w:i/>
          <w:iCs/>
          <w:color w:val="000000" w:themeColor="text1"/>
          <w:sz w:val="20"/>
          <w:szCs w:val="20"/>
          <w:u w:val="single"/>
          <w:lang w:val="en-US" w:eastAsia="zh-CN"/>
          <w14:textFill>
            <w14:solidFill>
              <w14:schemeClr w14:val="tx1"/>
            </w14:solidFill>
          </w14:textFill>
        </w:rPr>
        <w:t>/LP-WUR measurement/MR RRM relaxation</w:t>
      </w:r>
    </w:p>
    <w:p>
      <w:pPr>
        <w:spacing w:before="60"/>
        <w:jc w:val="both"/>
        <w:rPr>
          <w:rFonts w:hint="eastAsia"/>
          <w:sz w:val="20"/>
          <w:szCs w:val="20"/>
          <w:lang w:val="en-US" w:eastAsia="zh-CN"/>
        </w:rPr>
      </w:pPr>
      <w:r>
        <w:rPr>
          <w:rFonts w:hint="eastAsia"/>
          <w:sz w:val="20"/>
          <w:szCs w:val="20"/>
          <w:lang w:val="en-US" w:eastAsia="zh-CN"/>
        </w:rPr>
        <w:t>For the entry/exit criteria evaluation, we think the evaluation period can be the same as MR and/or LR measurement period, no need to define dedicated evaluation period.</w:t>
      </w:r>
    </w:p>
    <w:p>
      <w:pPr>
        <w:numPr>
          <w:ilvl w:val="0"/>
          <w:numId w:val="0"/>
        </w:numPr>
        <w:spacing w:before="60"/>
        <w:jc w:val="both"/>
        <w:rPr>
          <w:rFonts w:hint="eastAsia"/>
          <w:b/>
          <w:color w:val="000000" w:themeColor="text1"/>
          <w:u w:val="single"/>
          <w:lang w:val="en-US" w:eastAsia="zh-CN"/>
          <w14:textFill>
            <w14:solidFill>
              <w14:schemeClr w14:val="tx1"/>
            </w14:solidFill>
          </w14:textFill>
        </w:rPr>
      </w:pPr>
      <w:r>
        <w:rPr>
          <w:rFonts w:hint="eastAsia"/>
          <w:b/>
          <w:bCs/>
          <w:i/>
          <w:iCs/>
          <w:sz w:val="20"/>
          <w:szCs w:val="20"/>
          <w:lang w:val="en-US" w:eastAsia="zh-CN"/>
        </w:rPr>
        <w:t>Proposal 7: For the entry/exit criteria evaluation, the evaluation period can be the same as MR and/or LR measurement period.</w:t>
      </w:r>
    </w:p>
    <w:p>
      <w:pPr>
        <w:rPr>
          <w:rFonts w:hint="default"/>
          <w:b/>
          <w:color w:val="000000" w:themeColor="text1"/>
          <w:u w:val="single"/>
          <w:lang w:val="en-US" w:eastAsia="zh-CN"/>
          <w14:textFill>
            <w14:solidFill>
              <w14:schemeClr w14:val="tx1"/>
            </w14:solidFill>
          </w14:textFill>
        </w:rPr>
      </w:pPr>
    </w:p>
    <w:p>
      <w:pPr>
        <w:rPr>
          <w:rFonts w:hint="eastAsia"/>
          <w:b/>
          <w:i/>
          <w:iCs/>
          <w:color w:val="000000" w:themeColor="text1"/>
          <w:sz w:val="20"/>
          <w:szCs w:val="20"/>
          <w:u w:val="single"/>
          <w:lang w:val="en-US" w:eastAsia="ko-KR"/>
          <w14:textFill>
            <w14:solidFill>
              <w14:schemeClr w14:val="tx1"/>
            </w14:solidFill>
          </w14:textFill>
        </w:rPr>
      </w:pPr>
      <w:r>
        <w:rPr>
          <w:rFonts w:hint="eastAsia"/>
          <w:b/>
          <w:i/>
          <w:iCs/>
          <w:color w:val="000000" w:themeColor="text1"/>
          <w:sz w:val="20"/>
          <w:szCs w:val="20"/>
          <w:u w:val="single"/>
          <w:lang w:val="en-US" w:eastAsia="ko-KR"/>
          <w14:textFill>
            <w14:solidFill>
              <w14:schemeClr w14:val="tx1"/>
            </w14:solidFill>
          </w14:textFill>
        </w:rPr>
        <w:t xml:space="preserve">Issue 1-2-3: </w:t>
      </w:r>
      <w:r>
        <w:rPr>
          <w:rFonts w:hint="eastAsia"/>
          <w:b/>
          <w:i/>
          <w:iCs/>
          <w:color w:val="000000" w:themeColor="text1"/>
          <w:sz w:val="20"/>
          <w:szCs w:val="20"/>
          <w:u w:val="single"/>
          <w:lang w:val="en-US" w:eastAsia="zh-CN"/>
          <w14:textFill>
            <w14:solidFill>
              <w14:schemeClr w14:val="tx1"/>
            </w14:solidFill>
          </w14:textFill>
        </w:rPr>
        <w:t xml:space="preserve">On </w:t>
      </w:r>
      <w:r>
        <w:rPr>
          <w:rFonts w:hint="eastAsia"/>
          <w:b/>
          <w:i/>
          <w:iCs/>
          <w:color w:val="000000" w:themeColor="text1"/>
          <w:sz w:val="20"/>
          <w:szCs w:val="20"/>
          <w:u w:val="single"/>
          <w:lang w:val="en-US" w:eastAsia="ko-KR"/>
          <w14:textFill>
            <w14:solidFill>
              <w14:schemeClr w14:val="tx1"/>
            </w14:solidFill>
          </w14:textFill>
        </w:rPr>
        <w:t xml:space="preserve">interruption related requirements for LP-WUR </w:t>
      </w:r>
    </w:p>
    <w:p>
      <w:pPr>
        <w:jc w:val="both"/>
        <w:rPr>
          <w:rFonts w:hint="eastAsia"/>
          <w:i w:val="0"/>
          <w:iCs w:val="0"/>
          <w:sz w:val="20"/>
          <w:szCs w:val="20"/>
          <w:lang w:val="en-US" w:eastAsia="zh-CN"/>
        </w:rPr>
      </w:pPr>
      <w:r>
        <w:rPr>
          <w:rFonts w:hint="eastAsia"/>
          <w:i w:val="0"/>
          <w:iCs w:val="0"/>
          <w:sz w:val="20"/>
          <w:szCs w:val="20"/>
          <w:lang w:val="en-US" w:eastAsia="zh-CN"/>
        </w:rPr>
        <w:t>Due to MR will go into ultra-deep sleep mode in RRC IDLE/Inactive mode, it can</w:t>
      </w:r>
      <w:r>
        <w:rPr>
          <w:rFonts w:hint="default"/>
          <w:i w:val="0"/>
          <w:iCs w:val="0"/>
          <w:sz w:val="20"/>
          <w:szCs w:val="20"/>
          <w:lang w:val="en-US" w:eastAsia="zh-CN"/>
        </w:rPr>
        <w:t>’</w:t>
      </w:r>
      <w:r>
        <w:rPr>
          <w:rFonts w:hint="eastAsia"/>
          <w:i w:val="0"/>
          <w:iCs w:val="0"/>
          <w:sz w:val="20"/>
          <w:szCs w:val="20"/>
          <w:lang w:val="en-US" w:eastAsia="zh-CN"/>
        </w:rPr>
        <w:t>t receive paging immediately after LR receiving LP-WUS with paging indication.</w:t>
      </w:r>
    </w:p>
    <w:p>
      <w:pPr>
        <w:jc w:val="both"/>
        <w:rPr>
          <w:rFonts w:hint="eastAsia"/>
          <w:i w:val="0"/>
          <w:iCs w:val="0"/>
          <w:sz w:val="20"/>
          <w:szCs w:val="20"/>
          <w:lang w:val="en-US" w:eastAsia="zh-CN"/>
        </w:rPr>
      </w:pPr>
      <w:r>
        <w:rPr>
          <w:rFonts w:hint="eastAsia"/>
          <w:i w:val="0"/>
          <w:iCs w:val="0"/>
          <w:sz w:val="20"/>
          <w:szCs w:val="20"/>
          <w:lang w:val="en-US" w:eastAsia="zh-CN"/>
        </w:rPr>
        <w:t>RAN1 also discussed this issue, how does UE report the wake up delay capability, and how does network configure the offset value(s) between an LO and a reference PO/PF, following agreements have been achieved:</w:t>
      </w:r>
    </w:p>
    <w:tbl>
      <w:tblPr>
        <w:tblStyle w:val="21"/>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30" w:type="dxa"/>
          </w:tcPr>
          <w:p>
            <w:pPr>
              <w:rPr>
                <w:rFonts w:ascii="Times New Roman" w:hAnsi="Times New Roman" w:eastAsia="Batang"/>
                <w:sz w:val="20"/>
                <w:lang w:val="en-GB" w:eastAsia="ko-KR" w:bidi="ar"/>
              </w:rPr>
            </w:pPr>
            <w:r>
              <w:rPr>
                <w:rFonts w:ascii="Times New Roman" w:hAnsi="Times New Roman" w:eastAsia="Batang"/>
                <w:sz w:val="20"/>
                <w:highlight w:val="green"/>
                <w:lang w:val="en-GB" w:eastAsia="ko-KR" w:bidi="ar"/>
              </w:rPr>
              <w:t>Agreement</w:t>
            </w:r>
          </w:p>
          <w:p>
            <w:pPr>
              <w:rPr>
                <w:rFonts w:ascii="Times New Roman" w:hAnsi="Times New Roman" w:eastAsia="Batang"/>
                <w:sz w:val="20"/>
                <w:szCs w:val="20"/>
                <w:lang w:val="en-GB" w:eastAsia="en-US"/>
              </w:rPr>
            </w:pPr>
            <w:r>
              <w:rPr>
                <w:rFonts w:ascii="Times New Roman" w:hAnsi="Times New Roman" w:eastAsia="Batang"/>
                <w:sz w:val="20"/>
                <w:szCs w:val="20"/>
                <w:lang w:val="en-GB" w:eastAsia="en-US"/>
              </w:rPr>
              <w:t>For the offset value(s) between an LO and a reference PO/PF, consider the following options:</w:t>
            </w:r>
          </w:p>
          <w:p>
            <w:pPr>
              <w:numPr>
                <w:ilvl w:val="0"/>
                <w:numId w:val="11"/>
              </w:numPr>
              <w:ind w:left="72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Definition: The gap between an LO and a PO is considered to be no less than the wake-up delay a UE supports if the gap between the end of the last LP-WUS MO the UE monitors in the LO and the start of the PO is no less than the wake-up delay.</w:t>
            </w:r>
          </w:p>
          <w:p>
            <w:pPr>
              <w:numPr>
                <w:ilvl w:val="0"/>
                <w:numId w:val="11"/>
              </w:numPr>
              <w:ind w:left="72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1: gNB configures a single offset value.</w:t>
            </w:r>
          </w:p>
          <w:p>
            <w:pPr>
              <w:numPr>
                <w:ilvl w:val="1"/>
                <w:numId w:val="11"/>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 xml:space="preserve">If the gap between an LO and the PO </w:t>
            </w:r>
            <w:r>
              <w:rPr>
                <w:rFonts w:ascii="Times New Roman" w:hAnsi="Times New Roman" w:eastAsia="Batang"/>
                <w:sz w:val="20"/>
                <w:szCs w:val="20"/>
                <w:lang w:val="en-US" w:eastAsia="zh-CN"/>
              </w:rPr>
              <w:t>associated with the offset</w:t>
            </w:r>
            <w:r>
              <w:rPr>
                <w:rFonts w:ascii="Times New Roman" w:hAnsi="Times New Roman" w:eastAsia="Batang"/>
                <w:sz w:val="20"/>
                <w:szCs w:val="20"/>
                <w:lang w:val="en-GB" w:eastAsia="zh-CN"/>
              </w:rPr>
              <w:t xml:space="preserve"> is no less than the wake-up delay a UE supports, the UE monitors the PO associated with the offset after receiving a wake-up indication in a LP-WUS.</w:t>
            </w:r>
          </w:p>
          <w:p>
            <w:pPr>
              <w:numPr>
                <w:ilvl w:val="1"/>
                <w:numId w:val="11"/>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Otherwise,</w:t>
            </w:r>
          </w:p>
          <w:p>
            <w:pPr>
              <w:numPr>
                <w:ilvl w:val="2"/>
                <w:numId w:val="11"/>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1-1: the UE follows the legacy paging monitoring procedure.</w:t>
            </w:r>
          </w:p>
          <w:p>
            <w:pPr>
              <w:numPr>
                <w:ilvl w:val="2"/>
                <w:numId w:val="11"/>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1-2: the UE monitors LP-WUS. If it receives a wake-up indication in a LP-WUS, it monitors the first PO after its reported wake-up delay.</w:t>
            </w:r>
          </w:p>
          <w:p>
            <w:pPr>
              <w:numPr>
                <w:ilvl w:val="0"/>
                <w:numId w:val="11"/>
              </w:numPr>
              <w:ind w:left="72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 gNB configures one or multiple offset values.</w:t>
            </w:r>
          </w:p>
          <w:p>
            <w:pPr>
              <w:numPr>
                <w:ilvl w:val="1"/>
                <w:numId w:val="11"/>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For the same PO, each offset corresponds to a LO.</w:t>
            </w:r>
          </w:p>
          <w:p>
            <w:pPr>
              <w:numPr>
                <w:ilvl w:val="2"/>
                <w:numId w:val="11"/>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This does not preclude the possibility that the same LO may correspond to different POs with different offset values.</w:t>
            </w:r>
          </w:p>
          <w:p>
            <w:pPr>
              <w:numPr>
                <w:ilvl w:val="1"/>
                <w:numId w:val="11"/>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pPr>
              <w:numPr>
                <w:ilvl w:val="2"/>
                <w:numId w:val="11"/>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This implies that the gNB needs to configure at least one offset value that is no less than the largest wake-up delay supported by the UEs.</w:t>
            </w:r>
          </w:p>
          <w:p>
            <w:pPr>
              <w:numPr>
                <w:ilvl w:val="2"/>
                <w:numId w:val="11"/>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exactly how to choose the offset</w:t>
            </w:r>
          </w:p>
          <w:p>
            <w:pPr>
              <w:numPr>
                <w:ilvl w:val="1"/>
                <w:numId w:val="11"/>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2B:</w:t>
            </w:r>
          </w:p>
          <w:p>
            <w:pPr>
              <w:numPr>
                <w:ilvl w:val="2"/>
                <w:numId w:val="11"/>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pPr>
              <w:numPr>
                <w:ilvl w:val="3"/>
                <w:numId w:val="11"/>
              </w:numPr>
              <w:ind w:left="288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exactly how to choose the offset</w:t>
            </w:r>
          </w:p>
          <w:p>
            <w:pPr>
              <w:numPr>
                <w:ilvl w:val="2"/>
                <w:numId w:val="11"/>
              </w:numPr>
              <w:ind w:left="216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Otherwise,</w:t>
            </w:r>
          </w:p>
          <w:p>
            <w:pPr>
              <w:numPr>
                <w:ilvl w:val="3"/>
                <w:numId w:val="11"/>
              </w:numPr>
              <w:ind w:left="288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2B-1: the UE follows the legacy paging monitoring procedure.</w:t>
            </w:r>
          </w:p>
          <w:p>
            <w:pPr>
              <w:numPr>
                <w:ilvl w:val="3"/>
                <w:numId w:val="11"/>
              </w:numPr>
              <w:ind w:left="288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Option 2B-2: the UE monitors LP-WUS. If it receives a wake-up indication in a LP-WUS, it monitors the first PO after its reported wake-up delay.</w:t>
            </w:r>
          </w:p>
          <w:p>
            <w:pPr>
              <w:numPr>
                <w:ilvl w:val="4"/>
                <w:numId w:val="11"/>
              </w:numPr>
              <w:ind w:left="360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exactly how to choose the offset</w:t>
            </w:r>
          </w:p>
          <w:p>
            <w:pPr>
              <w:numPr>
                <w:ilvl w:val="1"/>
                <w:numId w:val="11"/>
              </w:numPr>
              <w:ind w:left="1440" w:hanging="360"/>
              <w:rPr>
                <w:rFonts w:ascii="Times New Roman" w:hAnsi="Times New Roman" w:eastAsia="Batang"/>
                <w:sz w:val="20"/>
                <w:szCs w:val="20"/>
                <w:lang w:val="en-GB" w:eastAsia="zh-CN"/>
              </w:rPr>
            </w:pPr>
            <w:r>
              <w:rPr>
                <w:rFonts w:ascii="Times New Roman" w:hAnsi="Times New Roman" w:eastAsia="Batang"/>
                <w:sz w:val="20"/>
                <w:szCs w:val="20"/>
                <w:lang w:val="en-GB" w:eastAsia="zh-CN"/>
              </w:rPr>
              <w:t>FFS the UE shall monitor the LO associated with additional offset(s)</w:t>
            </w:r>
          </w:p>
          <w:p>
            <w:pPr>
              <w:jc w:val="both"/>
              <w:rPr>
                <w:rFonts w:ascii="Times New Roman" w:hAnsi="Times New Roman" w:eastAsia="Batang"/>
                <w:sz w:val="20"/>
                <w:szCs w:val="20"/>
                <w:lang w:val="en-GB" w:eastAsia="en-US"/>
              </w:rPr>
            </w:pPr>
            <w:r>
              <w:rPr>
                <w:rFonts w:ascii="Times New Roman" w:hAnsi="Times New Roman" w:eastAsia="Batang"/>
                <w:sz w:val="20"/>
                <w:szCs w:val="20"/>
                <w:lang w:val="en-GB" w:eastAsia="en-US"/>
              </w:rPr>
              <w:t>Note: The PO mentioned above refers to legacy PO configured for the UE.</w:t>
            </w:r>
          </w:p>
          <w:p>
            <w:pPr>
              <w:rPr>
                <w:rFonts w:ascii="Times New Roman" w:hAnsi="Times New Roman" w:eastAsia="Batang"/>
                <w:sz w:val="20"/>
                <w:szCs w:val="20"/>
                <w:lang w:val="en-GB" w:eastAsia="en-US"/>
              </w:rPr>
            </w:pPr>
            <w:r>
              <w:rPr>
                <w:rFonts w:ascii="Times New Roman" w:hAnsi="Times New Roman" w:eastAsia="Batang"/>
                <w:sz w:val="20"/>
                <w:szCs w:val="20"/>
                <w:highlight w:val="green"/>
                <w:lang w:val="en-GB" w:eastAsia="en-US"/>
              </w:rPr>
              <w:t>Agreement</w:t>
            </w:r>
          </w:p>
          <w:p>
            <w:pPr>
              <w:rPr>
                <w:rFonts w:ascii="Times New Roman" w:hAnsi="Times New Roman" w:eastAsia="Batang"/>
                <w:sz w:val="20"/>
                <w:szCs w:val="20"/>
                <w:lang w:val="en-GB" w:eastAsia="en-US"/>
              </w:rPr>
            </w:pPr>
            <w:r>
              <w:rPr>
                <w:rFonts w:ascii="Times New Roman" w:hAnsi="Times New Roman" w:eastAsia="Batang"/>
                <w:sz w:val="20"/>
                <w:szCs w:val="20"/>
                <w:lang w:val="en-GB" w:eastAsia="en-US"/>
              </w:rPr>
              <w:t>Support 3 candidate values for the wake-up delay capability a UE reports, two values for ultra-deep sleep state and one value for deep sleep state.</w:t>
            </w:r>
          </w:p>
          <w:p>
            <w:pPr>
              <w:numPr>
                <w:ilvl w:val="0"/>
                <w:numId w:val="12"/>
              </w:numPr>
              <w:ind w:left="720" w:hanging="360"/>
              <w:jc w:val="both"/>
              <w:rPr>
                <w:rFonts w:ascii="Times New Roman" w:hAnsi="Times New Roman" w:eastAsia="Batang"/>
                <w:sz w:val="20"/>
                <w:szCs w:val="20"/>
                <w:lang w:val="en-GB" w:eastAsia="zh-CN"/>
              </w:rPr>
            </w:pPr>
            <w:r>
              <w:rPr>
                <w:rFonts w:ascii="Times New Roman" w:hAnsi="Times New Roman" w:eastAsia="Batang"/>
                <w:sz w:val="20"/>
                <w:szCs w:val="20"/>
                <w:lang w:val="en-GB" w:eastAsia="zh-CN"/>
              </w:rPr>
              <w:t>FFS the values</w:t>
            </w:r>
          </w:p>
          <w:p>
            <w:pPr>
              <w:numPr>
                <w:ilvl w:val="0"/>
                <w:numId w:val="12"/>
              </w:numPr>
              <w:ind w:left="720" w:hanging="360"/>
              <w:jc w:val="both"/>
              <w:rPr>
                <w:rFonts w:hint="eastAsia" w:ascii="Times New Roman" w:hAnsi="Times New Roman" w:eastAsia="Batang"/>
                <w:sz w:val="20"/>
                <w:szCs w:val="20"/>
                <w:lang w:val="en-US" w:eastAsia="zh-CN"/>
              </w:rPr>
            </w:pPr>
            <w:r>
              <w:rPr>
                <w:rFonts w:ascii="Times New Roman" w:hAnsi="Times New Roman" w:eastAsia="Batang"/>
                <w:sz w:val="20"/>
                <w:szCs w:val="20"/>
                <w:lang w:val="en-GB" w:eastAsia="zh-CN"/>
              </w:rPr>
              <w:t>Note: Ultra-deep sleep state and deep sleep state are mentioned above solely for the purpose of RAN1 discussions and it is not intended to be captured in specifications from RAN1 perspective</w:t>
            </w:r>
          </w:p>
        </w:tc>
      </w:tr>
    </w:tbl>
    <w:p>
      <w:pPr>
        <w:jc w:val="both"/>
        <w:rPr>
          <w:rFonts w:hint="eastAsia"/>
          <w:i w:val="0"/>
          <w:iCs w:val="0"/>
          <w:sz w:val="20"/>
          <w:szCs w:val="20"/>
          <w:lang w:val="en-US" w:eastAsia="zh-CN"/>
        </w:rPr>
      </w:pPr>
    </w:p>
    <w:p>
      <w:pPr>
        <w:jc w:val="both"/>
        <w:rPr>
          <w:rFonts w:hint="default"/>
          <w:i w:val="0"/>
          <w:iCs w:val="0"/>
          <w:sz w:val="20"/>
          <w:szCs w:val="20"/>
          <w:lang w:val="en-US" w:eastAsia="zh-CN"/>
        </w:rPr>
      </w:pPr>
      <w:r>
        <w:rPr>
          <w:rFonts w:hint="eastAsia"/>
          <w:i w:val="0"/>
          <w:iCs w:val="0"/>
          <w:sz w:val="20"/>
          <w:szCs w:val="20"/>
          <w:lang w:val="en-US" w:eastAsia="zh-CN"/>
        </w:rPr>
        <w:t>If RAN1 will specify the offset values and related UE behaviors, RAN4 don</w:t>
      </w:r>
      <w:r>
        <w:rPr>
          <w:rFonts w:hint="default"/>
          <w:i w:val="0"/>
          <w:iCs w:val="0"/>
          <w:sz w:val="20"/>
          <w:szCs w:val="20"/>
          <w:lang w:val="en-US" w:eastAsia="zh-CN"/>
        </w:rPr>
        <w:t>’</w:t>
      </w:r>
      <w:r>
        <w:rPr>
          <w:rFonts w:hint="eastAsia"/>
          <w:i w:val="0"/>
          <w:iCs w:val="0"/>
          <w:sz w:val="20"/>
          <w:szCs w:val="20"/>
          <w:lang w:val="en-US" w:eastAsia="zh-CN"/>
        </w:rPr>
        <w:t>t need to define the duplicate interruption requirement. Hence, we can postpone the discussion and wait for more RAN1 progress.</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8: For the interruption between LP-WUS (with paging indication) reception and MR to start paging monitoring, postpone the discussion and wait for more RAN1 progress.</w:t>
      </w:r>
    </w:p>
    <w:p>
      <w:pPr>
        <w:rPr>
          <w:rFonts w:hint="default"/>
          <w:b/>
          <w:color w:val="000000" w:themeColor="text1"/>
          <w:u w:val="single"/>
          <w:lang w:val="en-US" w:eastAsia="zh-CN"/>
          <w14:textFill>
            <w14:solidFill>
              <w14:schemeClr w14:val="tx1"/>
            </w14:solidFill>
          </w14:textFill>
        </w:rPr>
      </w:pPr>
    </w:p>
    <w:p>
      <w:pPr>
        <w:rPr>
          <w:rFonts w:hint="eastAsia"/>
          <w:b/>
          <w:i/>
          <w:iCs/>
          <w:color w:val="000000" w:themeColor="text1"/>
          <w:sz w:val="20"/>
          <w:szCs w:val="20"/>
          <w:u w:val="single"/>
          <w:lang w:val="en-US" w:eastAsia="ko-KR"/>
          <w14:textFill>
            <w14:solidFill>
              <w14:schemeClr w14:val="tx1"/>
            </w14:solidFill>
          </w14:textFill>
        </w:rPr>
      </w:pPr>
      <w:r>
        <w:rPr>
          <w:rFonts w:hint="eastAsia"/>
          <w:b/>
          <w:i/>
          <w:iCs/>
          <w:color w:val="000000" w:themeColor="text1"/>
          <w:sz w:val="20"/>
          <w:szCs w:val="20"/>
          <w:u w:val="single"/>
          <w:lang w:val="en-US" w:eastAsia="ko-KR"/>
          <w14:textFill>
            <w14:solidFill>
              <w14:schemeClr w14:val="tx1"/>
            </w14:solidFill>
          </w14:textFill>
        </w:rPr>
        <w:t>Issue 1-3-1: MR RRM relaxation for serving cell/neighbour cell</w:t>
      </w:r>
    </w:p>
    <w:p>
      <w:pPr>
        <w:rPr>
          <w:rFonts w:hint="eastAsia"/>
          <w:b/>
          <w:i/>
          <w:iCs/>
          <w:color w:val="000000" w:themeColor="text1"/>
          <w:sz w:val="20"/>
          <w:szCs w:val="20"/>
          <w:u w:val="single"/>
          <w:lang w:val="en-US" w:eastAsia="ko-KR"/>
          <w14:textFill>
            <w14:solidFill>
              <w14:schemeClr w14:val="tx1"/>
            </w14:solidFill>
          </w14:textFill>
        </w:rPr>
      </w:pPr>
      <w:r>
        <w:rPr>
          <w:rFonts w:hint="eastAsia"/>
          <w:b/>
          <w:i/>
          <w:iCs/>
          <w:color w:val="000000" w:themeColor="text1"/>
          <w:sz w:val="20"/>
          <w:szCs w:val="20"/>
          <w:u w:val="single"/>
          <w:lang w:val="en-US" w:eastAsia="ko-KR"/>
          <w14:textFill>
            <w14:solidFill>
              <w14:schemeClr w14:val="tx1"/>
            </w14:solidFill>
          </w14:textFill>
        </w:rPr>
        <w:t>Issue 1-3-2: On Neighbour cell and serving cell relaxation factor</w:t>
      </w:r>
    </w:p>
    <w:p>
      <w:pPr>
        <w:rPr>
          <w:rFonts w:hint="eastAsia"/>
          <w:b/>
          <w:i/>
          <w:iCs/>
          <w:color w:val="000000" w:themeColor="text1"/>
          <w:sz w:val="20"/>
          <w:szCs w:val="20"/>
          <w:u w:val="single"/>
          <w:lang w:val="en-US" w:eastAsia="ko-KR"/>
          <w14:textFill>
            <w14:solidFill>
              <w14:schemeClr w14:val="tx1"/>
            </w14:solidFill>
          </w14:textFill>
        </w:rPr>
      </w:pPr>
      <w:r>
        <w:rPr>
          <w:rFonts w:hint="eastAsia"/>
          <w:b/>
          <w:i/>
          <w:iCs/>
          <w:color w:val="000000" w:themeColor="text1"/>
          <w:sz w:val="20"/>
          <w:szCs w:val="20"/>
          <w:u w:val="single"/>
          <w:lang w:val="en-US" w:eastAsia="ko-KR"/>
          <w14:textFill>
            <w14:solidFill>
              <w14:schemeClr w14:val="tx1"/>
            </w14:solidFill>
          </w14:textFill>
        </w:rPr>
        <w:t>Issue 1-3-3: Accuracy for relaxed MR measurement</w:t>
      </w:r>
    </w:p>
    <w:p>
      <w:pPr>
        <w:spacing w:before="60"/>
        <w:jc w:val="both"/>
        <w:rPr>
          <w:rFonts w:hint="eastAsia"/>
          <w:sz w:val="20"/>
          <w:szCs w:val="20"/>
          <w:lang w:val="en-US" w:eastAsia="zh-CN"/>
        </w:rPr>
      </w:pPr>
      <w:r>
        <w:rPr>
          <w:rFonts w:hint="eastAsia"/>
          <w:sz w:val="20"/>
          <w:szCs w:val="20"/>
          <w:lang w:val="en-US" w:eastAsia="zh-CN"/>
        </w:rPr>
        <w:t xml:space="preserve">Since case#3 has been agreed, then MR based serving cell measurement relaxation requirement and neighbouring cell measurement relaxation requirement should be specified. </w:t>
      </w:r>
    </w:p>
    <w:p>
      <w:pPr>
        <w:spacing w:before="60"/>
        <w:jc w:val="both"/>
        <w:rPr>
          <w:rFonts w:hint="eastAsia"/>
          <w:sz w:val="20"/>
          <w:szCs w:val="20"/>
          <w:lang w:val="en-US" w:eastAsia="zh-CN"/>
        </w:rPr>
      </w:pPr>
      <w:r>
        <w:rPr>
          <w:rFonts w:hint="eastAsia"/>
          <w:sz w:val="20"/>
          <w:szCs w:val="20"/>
          <w:lang w:val="en-US" w:eastAsia="zh-CN"/>
        </w:rPr>
        <w:t>The first key point is the scaling factor, which should guarantee the mobility performance and power saving gain simultaneously. Based on the output observation from TR38.869 clause 8.1.1.5.2, if X&lt;8, then very limited power saving gain will be achieved (average: 4%, range: -18%~50%). Therefore, the MR should at least be relaxed 8 times. We propose to use 8 as the baseline.</w:t>
      </w:r>
    </w:p>
    <w:p>
      <w:pPr>
        <w:spacing w:before="60"/>
        <w:jc w:val="both"/>
        <w:rPr>
          <w:rFonts w:hint="default"/>
          <w:sz w:val="20"/>
          <w:szCs w:val="20"/>
          <w:lang w:val="en-US" w:eastAsia="zh-CN"/>
        </w:rPr>
      </w:pPr>
      <w:r>
        <w:rPr>
          <w:rFonts w:hint="eastAsia"/>
          <w:sz w:val="20"/>
          <w:szCs w:val="20"/>
          <w:lang w:val="en-US" w:eastAsia="zh-CN"/>
        </w:rPr>
        <w:t xml:space="preserve">The second key point is the measurement accuracy. The MR measurement result will be used to determine serving cell quality and neighbouring cell quality for cell selection and cell re-selection, and whether to trigger the measurement offloading, the accuracy is rather important among these procedure to guarantee UE mobility and camp on. The legacy accuracy should be reused. </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9: MR based serving cell measurement and neighbouring cell measurement requirement should be specified. The scaling factor should guarantee the mobility performance, measurement accuracy and power saving gain simultaneously.</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 xml:space="preserve">Proposal 10: For the measurement based on both MR with RRM relaxation (X time relaxation) and LP-WUR, X =8 can be the starting point.   </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11: The legacy accuracy for relaxed MR measurement should be reused for Case#3.</w:t>
      </w:r>
    </w:p>
    <w:p>
      <w:pPr>
        <w:rPr>
          <w:rFonts w:hint="default"/>
          <w:b/>
          <w:color w:val="000000" w:themeColor="text1"/>
          <w:u w:val="single"/>
          <w:lang w:val="en-US" w:eastAsia="zh-CN"/>
          <w14:textFill>
            <w14:solidFill>
              <w14:schemeClr w14:val="tx1"/>
            </w14:solidFill>
          </w14:textFill>
        </w:rPr>
      </w:pPr>
    </w:p>
    <w:p>
      <w:pPr>
        <w:rPr>
          <w:rFonts w:hint="default"/>
          <w:b/>
          <w:color w:val="000000" w:themeColor="text1"/>
          <w:u w:val="single"/>
          <w:lang w:val="en-US" w:eastAsia="zh-CN"/>
          <w14:textFill>
            <w14:solidFill>
              <w14:schemeClr w14:val="tx1"/>
            </w14:solidFill>
          </w14:textFill>
        </w:rPr>
      </w:pPr>
    </w:p>
    <w:p>
      <w:pPr>
        <w:rPr>
          <w:rFonts w:hint="eastAsia"/>
          <w:b/>
          <w:i/>
          <w:iCs/>
          <w:color w:val="000000" w:themeColor="text1"/>
          <w:sz w:val="20"/>
          <w:szCs w:val="20"/>
          <w:u w:val="single"/>
          <w:lang w:val="en-US" w:eastAsia="ko-KR"/>
          <w14:textFill>
            <w14:solidFill>
              <w14:schemeClr w14:val="tx1"/>
            </w14:solidFill>
          </w14:textFill>
        </w:rPr>
      </w:pPr>
      <w:r>
        <w:rPr>
          <w:rFonts w:hint="eastAsia"/>
          <w:b/>
          <w:i/>
          <w:iCs/>
          <w:color w:val="000000" w:themeColor="text1"/>
          <w:sz w:val="20"/>
          <w:szCs w:val="20"/>
          <w:u w:val="single"/>
          <w:lang w:val="en-US" w:eastAsia="ko-KR"/>
          <w14:textFill>
            <w14:solidFill>
              <w14:schemeClr w14:val="tx1"/>
            </w14:solidFill>
          </w14:textFill>
        </w:rPr>
        <w:t>Issue 1-5-2: LR based RRM with EMR in IDLE/inactive mode</w:t>
      </w:r>
    </w:p>
    <w:p>
      <w:pPr>
        <w:pStyle w:val="75"/>
        <w:keepNext w:val="0"/>
        <w:keepLines w:val="0"/>
        <w:pageBreakBefore w:val="0"/>
        <w:widowControl/>
        <w:numPr>
          <w:ilvl w:val="0"/>
          <w:numId w:val="0"/>
        </w:numPr>
        <w:kinsoku/>
        <w:wordWrap/>
        <w:overflowPunct/>
        <w:topLinePunct w:val="0"/>
        <w:autoSpaceDE/>
        <w:autoSpaceDN/>
        <w:bidi w:val="0"/>
        <w:adjustRightInd/>
        <w:snapToGrid/>
        <w:spacing w:after="60"/>
        <w:textAlignment w:val="auto"/>
        <w:rPr>
          <w:i/>
          <w:iCs/>
          <w:color w:val="000000"/>
          <w:sz w:val="20"/>
          <w:szCs w:val="16"/>
          <w:lang w:eastAsia="zh-CN"/>
        </w:rPr>
      </w:pPr>
      <w:r>
        <w:rPr>
          <w:i/>
          <w:iCs/>
          <w:color w:val="000000"/>
          <w:sz w:val="20"/>
          <w:szCs w:val="16"/>
          <w:lang w:eastAsia="zh-CN"/>
        </w:rPr>
        <w:t xml:space="preserve">Proposals </w:t>
      </w:r>
    </w:p>
    <w:p>
      <w:pPr>
        <w:pStyle w:val="75"/>
        <w:keepNext w:val="0"/>
        <w:keepLines w:val="0"/>
        <w:pageBreakBefore w:val="0"/>
        <w:widowControl/>
        <w:numPr>
          <w:ilvl w:val="0"/>
          <w:numId w:val="6"/>
        </w:numPr>
        <w:kinsoku/>
        <w:wordWrap/>
        <w:overflowPunct/>
        <w:topLinePunct w:val="0"/>
        <w:autoSpaceDE/>
        <w:autoSpaceDN/>
        <w:bidi w:val="0"/>
        <w:adjustRightInd/>
        <w:snapToGrid/>
        <w:spacing w:after="60"/>
        <w:ind w:left="601" w:leftChars="0" w:hanging="363" w:firstLineChars="0"/>
        <w:textAlignment w:val="auto"/>
        <w:rPr>
          <w:rFonts w:hint="default"/>
          <w:b/>
          <w:color w:val="000000" w:themeColor="text1"/>
          <w:u w:val="single"/>
          <w:lang w:val="en-US" w:eastAsia="zh-CN"/>
          <w14:textFill>
            <w14:solidFill>
              <w14:schemeClr w14:val="tx1"/>
            </w14:solidFill>
          </w14:textFill>
        </w:rPr>
      </w:pPr>
      <w:r>
        <w:rPr>
          <w:i/>
          <w:iCs/>
          <w:color w:val="000000"/>
          <w:sz w:val="20"/>
          <w:szCs w:val="16"/>
          <w:lang w:eastAsia="zh-CN"/>
        </w:rPr>
        <w:t>P1: For a UE which supports idleInactiveNR-MeasReport-r16 or idleInactiveEUTRA-MeasReport-r16, and serving cell configures carriers for idle mode CA/DC measurement reporting with T331 running, UE shall keep the MR ON for EMR measurement regardless of the MR offloading condition is met or not. (Apple)</w:t>
      </w:r>
    </w:p>
    <w:p>
      <w:pPr>
        <w:spacing w:before="60"/>
        <w:jc w:val="both"/>
        <w:rPr>
          <w:rFonts w:hint="eastAsia"/>
          <w:sz w:val="20"/>
          <w:szCs w:val="20"/>
          <w:lang w:val="en-US" w:eastAsia="zh-CN"/>
        </w:rPr>
      </w:pPr>
      <w:r>
        <w:rPr>
          <w:rFonts w:hint="eastAsia"/>
          <w:sz w:val="20"/>
          <w:szCs w:val="20"/>
          <w:lang w:val="en-US" w:eastAsia="zh-CN"/>
        </w:rPr>
        <w:t>This issue is similar as the issue 1-1-10, that network configures one measurement which can only be performed by MR. Then when UE enters Case#1, whether the measurement need to be done by MR or not should be further investigate.</w:t>
      </w:r>
    </w:p>
    <w:p>
      <w:pPr>
        <w:spacing w:before="60"/>
        <w:jc w:val="both"/>
        <w:rPr>
          <w:rFonts w:hint="eastAsia"/>
          <w:b/>
          <w:bCs/>
          <w:sz w:val="20"/>
          <w:szCs w:val="20"/>
          <w:lang w:val="en-US" w:eastAsia="zh-CN"/>
        </w:rPr>
      </w:pPr>
      <w:r>
        <w:rPr>
          <w:rFonts w:hint="eastAsia"/>
          <w:sz w:val="20"/>
          <w:szCs w:val="20"/>
          <w:lang w:val="en-US" w:eastAsia="zh-CN"/>
        </w:rPr>
        <w:t xml:space="preserve">In case#1, we deem that the condition of </w:t>
      </w:r>
      <w:r>
        <w:rPr>
          <w:sz w:val="20"/>
          <w:szCs w:val="20"/>
        </w:rPr>
        <w:t>Srxlev &gt; S</w:t>
      </w:r>
      <w:r>
        <w:rPr>
          <w:sz w:val="20"/>
          <w:szCs w:val="20"/>
          <w:vertAlign w:val="subscript"/>
        </w:rPr>
        <w:t>nonIntraSearchP</w:t>
      </w:r>
      <w:r>
        <w:rPr>
          <w:sz w:val="20"/>
          <w:szCs w:val="20"/>
        </w:rPr>
        <w:t xml:space="preserve"> and Squal &gt; S</w:t>
      </w:r>
      <w:r>
        <w:rPr>
          <w:sz w:val="20"/>
          <w:szCs w:val="20"/>
          <w:vertAlign w:val="subscript"/>
        </w:rPr>
        <w:t>nonIntraSearchQ</w:t>
      </w:r>
      <w:r>
        <w:rPr>
          <w:sz w:val="20"/>
          <w:szCs w:val="20"/>
        </w:rPr>
        <w:t xml:space="preserve"> </w:t>
      </w:r>
      <w:r>
        <w:rPr>
          <w:rFonts w:hint="eastAsia"/>
          <w:sz w:val="20"/>
          <w:szCs w:val="20"/>
          <w:lang w:val="en-US" w:eastAsia="zh-CN"/>
        </w:rPr>
        <w:t xml:space="preserve">will be valid. Based on existing spec, </w:t>
      </w:r>
      <w:r>
        <w:rPr>
          <w:sz w:val="20"/>
          <w:szCs w:val="20"/>
        </w:rPr>
        <w:t>the UE shall search for inter-frequency layers configured for idle mode CA/DC measurements at least every T</w:t>
      </w:r>
      <w:r>
        <w:rPr>
          <w:sz w:val="20"/>
          <w:szCs w:val="20"/>
          <w:vertAlign w:val="subscript"/>
        </w:rPr>
        <w:t>higher_priority_search</w:t>
      </w:r>
    </w:p>
    <w:p>
      <w:pPr>
        <w:spacing w:before="60"/>
        <w:jc w:val="both"/>
        <w:rPr>
          <w:rFonts w:hint="eastAsia"/>
          <w:sz w:val="20"/>
          <w:szCs w:val="20"/>
          <w:lang w:val="en-US" w:eastAsia="zh-CN"/>
        </w:rPr>
      </w:pPr>
      <w:r>
        <w:rPr>
          <w:rFonts w:hint="eastAsia"/>
          <w:sz w:val="20"/>
          <w:szCs w:val="20"/>
          <w:lang w:val="en-US" w:eastAsia="zh-CN"/>
        </w:rPr>
        <w:t>We think the importance of EMR measurement is lower than high priority measurement. Therefore, if only relaxed higher priority layer measurement requirement can be applied in case 1, then the measurement requirement for EMR also need to be relaxed at this case. We prefer to discuss the high priority measurement first, and then discuss this issue.</w:t>
      </w:r>
    </w:p>
    <w:p>
      <w:pPr>
        <w:numPr>
          <w:ilvl w:val="0"/>
          <w:numId w:val="0"/>
        </w:numPr>
        <w:spacing w:before="60"/>
        <w:jc w:val="both"/>
        <w:rPr>
          <w:rFonts w:hint="default"/>
          <w:sz w:val="21"/>
          <w:szCs w:val="21"/>
          <w:lang w:val="en-US" w:eastAsia="zh-CN"/>
        </w:rPr>
      </w:pPr>
      <w:r>
        <w:rPr>
          <w:rFonts w:hint="eastAsia"/>
          <w:b/>
          <w:bCs/>
          <w:i/>
          <w:iCs/>
          <w:sz w:val="20"/>
          <w:szCs w:val="20"/>
          <w:lang w:val="en-US" w:eastAsia="zh-CN"/>
        </w:rPr>
        <w:t>Proposal 12: The methodology of EMR requirement definition under each Cases can refer to the methodology of high priority layer measurement requirement definition.</w:t>
      </w:r>
    </w:p>
    <w:bookmarkEnd w:id="7"/>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Based on the discussion above, the following</w:t>
      </w:r>
      <w:r>
        <w:rPr>
          <w:rFonts w:hint="eastAsia"/>
          <w:sz w:val="20"/>
          <w:szCs w:val="20"/>
          <w:lang w:val="en-US" w:eastAsia="zh-CN"/>
        </w:rPr>
        <w:t xml:space="preserve"> </w:t>
      </w:r>
      <w:r>
        <w:rPr>
          <w:sz w:val="20"/>
          <w:szCs w:val="20"/>
        </w:rPr>
        <w:t xml:space="preserve">proposals are concluded. </w:t>
      </w:r>
      <w:bookmarkEnd w:id="5"/>
      <w:bookmarkEnd w:id="6"/>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Observation 1: The legacy cell re-selection measurement rules should also be valid in the scenario with LP-WUS/WUR.</w:t>
      </w:r>
    </w:p>
    <w:p>
      <w:pPr>
        <w:numPr>
          <w:ilvl w:val="0"/>
          <w:numId w:val="0"/>
        </w:numPr>
        <w:spacing w:before="60"/>
        <w:jc w:val="both"/>
        <w:rPr>
          <w:rFonts w:hint="eastAsia" w:eastAsia="宋体"/>
          <w:i w:val="0"/>
          <w:iCs w:val="0"/>
          <w:color w:val="000000" w:themeColor="text1"/>
          <w:sz w:val="20"/>
          <w:szCs w:val="20"/>
          <w:vertAlign w:val="baseline"/>
          <w:lang w:val="en-US" w:eastAsia="zh-CN"/>
          <w14:textFill>
            <w14:solidFill>
              <w14:schemeClr w14:val="tx1"/>
            </w14:solidFill>
          </w14:textFill>
        </w:rPr>
      </w:pPr>
      <w:r>
        <w:rPr>
          <w:rFonts w:hint="eastAsia"/>
          <w:b/>
          <w:bCs/>
          <w:i/>
          <w:iCs/>
          <w:sz w:val="20"/>
          <w:szCs w:val="20"/>
          <w:lang w:val="en-US" w:eastAsia="zh-CN"/>
        </w:rPr>
        <w:t>Proposal 1: Case#2 is a possible case, its existence depends on network configuration.</w:t>
      </w:r>
    </w:p>
    <w:p>
      <w:pPr>
        <w:numPr>
          <w:ilvl w:val="0"/>
          <w:numId w:val="0"/>
        </w:numPr>
        <w:spacing w:before="60"/>
        <w:jc w:val="both"/>
        <w:rPr>
          <w:rFonts w:hint="eastAsia"/>
          <w:b/>
          <w:bCs/>
          <w:i/>
          <w:iCs/>
          <w:color w:val="000000"/>
          <w:sz w:val="20"/>
          <w:szCs w:val="16"/>
          <w:lang w:val="en-US" w:eastAsia="zh-CN"/>
        </w:rPr>
      </w:pPr>
      <w:r>
        <w:rPr>
          <w:rFonts w:hint="eastAsia"/>
          <w:b/>
          <w:bCs/>
          <w:i/>
          <w:iCs/>
          <w:sz w:val="20"/>
          <w:szCs w:val="20"/>
          <w:lang w:val="en-US" w:eastAsia="zh-CN"/>
        </w:rPr>
        <w:t xml:space="preserve">Proposal 2: </w:t>
      </w:r>
      <w:r>
        <w:rPr>
          <w:b/>
          <w:bCs/>
          <w:i/>
          <w:iCs/>
          <w:color w:val="000000"/>
          <w:sz w:val="20"/>
          <w:szCs w:val="16"/>
        </w:rPr>
        <w:t>RAN4 specifies measurement requirements for the following</w:t>
      </w:r>
      <w:r>
        <w:rPr>
          <w:rFonts w:hint="eastAsia"/>
          <w:b/>
          <w:bCs/>
          <w:i/>
          <w:iCs/>
          <w:color w:val="000000"/>
          <w:sz w:val="20"/>
          <w:szCs w:val="16"/>
          <w:lang w:val="en-US" w:eastAsia="zh-CN"/>
        </w:rPr>
        <w:t xml:space="preserve"> two cases:</w:t>
      </w:r>
    </w:p>
    <w:p>
      <w:pPr>
        <w:numPr>
          <w:ilvl w:val="0"/>
          <w:numId w:val="8"/>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Measurement requirements for OOK-based LP-WUR serving cell measurement based on LP-SS at Idle/Inactive state</w:t>
      </w:r>
    </w:p>
    <w:p>
      <w:pPr>
        <w:numPr>
          <w:ilvl w:val="0"/>
          <w:numId w:val="8"/>
        </w:numPr>
        <w:spacing w:before="60"/>
        <w:ind w:left="420" w:leftChars="0" w:hanging="420" w:firstLineChars="0"/>
        <w:jc w:val="both"/>
        <w:rPr>
          <w:rFonts w:hint="default"/>
          <w:b/>
          <w:bCs/>
          <w:i/>
          <w:iCs/>
          <w:sz w:val="20"/>
          <w:szCs w:val="20"/>
          <w:lang w:val="en-US" w:eastAsia="zh-CN"/>
        </w:rPr>
      </w:pPr>
      <w:r>
        <w:rPr>
          <w:rFonts w:hint="default"/>
          <w:b/>
          <w:bCs/>
          <w:i/>
          <w:iCs/>
          <w:sz w:val="20"/>
          <w:szCs w:val="20"/>
          <w:lang w:val="en-US" w:eastAsia="zh-CN"/>
        </w:rPr>
        <w:t>Measurement requirements for OFDM-based LP-WUR serving cell measurement based on existing PSS/SSS at Idle/Inactive state</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3: RAN2 is responsible for the discussion of which type of threshold will be used for RRM measurement relaxation and offloading criteria.</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4: When LR doesn</w:t>
      </w:r>
      <w:r>
        <w:rPr>
          <w:rFonts w:hint="default"/>
          <w:b/>
          <w:bCs/>
          <w:i/>
          <w:iCs/>
          <w:sz w:val="20"/>
          <w:szCs w:val="20"/>
          <w:lang w:val="en-US" w:eastAsia="zh-CN"/>
        </w:rPr>
        <w:t>’</w:t>
      </w:r>
      <w:r>
        <w:rPr>
          <w:rFonts w:hint="eastAsia"/>
          <w:b/>
          <w:bCs/>
          <w:i/>
          <w:iCs/>
          <w:sz w:val="20"/>
          <w:szCs w:val="20"/>
          <w:lang w:val="en-US" w:eastAsia="zh-CN"/>
        </w:rPr>
        <w:t>t support the serving cell</w:t>
      </w:r>
      <w:r>
        <w:rPr>
          <w:rFonts w:hint="default"/>
          <w:b/>
          <w:bCs/>
          <w:i/>
          <w:iCs/>
          <w:sz w:val="20"/>
          <w:szCs w:val="20"/>
          <w:lang w:val="en-US" w:eastAsia="zh-CN"/>
        </w:rPr>
        <w:t>’</w:t>
      </w:r>
      <w:r>
        <w:rPr>
          <w:rFonts w:hint="eastAsia"/>
          <w:b/>
          <w:bCs/>
          <w:i/>
          <w:iCs/>
          <w:sz w:val="20"/>
          <w:szCs w:val="20"/>
          <w:lang w:val="en-US" w:eastAsia="zh-CN"/>
        </w:rPr>
        <w:t>s operating band, LP-WUS reception can be performed on the other carrier supported by LR. The details e.g., where and how LR monitor the LP-WUS may need additional specification support. This part should be studied in RAN1 first.</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5: As long as network configure such higher priority layer, UE should monitor it for possible cell-re selection</w:t>
      </w:r>
    </w:p>
    <w:p>
      <w:pPr>
        <w:numPr>
          <w:ilvl w:val="0"/>
          <w:numId w:val="10"/>
        </w:numPr>
        <w:spacing w:before="60"/>
        <w:ind w:left="420" w:leftChars="0" w:hanging="420" w:firstLineChars="0"/>
        <w:jc w:val="both"/>
        <w:rPr>
          <w:rFonts w:hint="eastAsia"/>
          <w:b/>
          <w:bCs/>
          <w:i/>
          <w:iCs/>
          <w:sz w:val="20"/>
          <w:szCs w:val="20"/>
          <w:lang w:val="en-US" w:eastAsia="zh-CN"/>
        </w:rPr>
      </w:pPr>
      <w:r>
        <w:rPr>
          <w:rFonts w:hint="eastAsia"/>
          <w:b/>
          <w:bCs/>
          <w:i/>
          <w:iCs/>
          <w:sz w:val="20"/>
          <w:szCs w:val="20"/>
          <w:lang w:val="en-US" w:eastAsia="zh-CN"/>
        </w:rPr>
        <w:t>When fulling offloading case happens (Case#1), the relaxed higher priority layer measurement requirement can be applied, i.e., per higher priority layer within 1h</w:t>
      </w:r>
    </w:p>
    <w:p>
      <w:pPr>
        <w:numPr>
          <w:ilvl w:val="0"/>
          <w:numId w:val="10"/>
        </w:numPr>
        <w:spacing w:before="60"/>
        <w:ind w:left="420" w:leftChars="0" w:hanging="420" w:firstLineChars="0"/>
        <w:jc w:val="both"/>
        <w:rPr>
          <w:rFonts w:hint="default"/>
          <w:b/>
          <w:bCs/>
          <w:i/>
          <w:iCs/>
          <w:sz w:val="20"/>
          <w:szCs w:val="20"/>
          <w:lang w:val="en-US" w:eastAsia="zh-CN"/>
        </w:rPr>
      </w:pPr>
      <w:r>
        <w:rPr>
          <w:rFonts w:hint="eastAsia"/>
          <w:b/>
          <w:bCs/>
          <w:i/>
          <w:iCs/>
          <w:sz w:val="20"/>
          <w:szCs w:val="20"/>
          <w:lang w:val="en-US" w:eastAsia="zh-CN"/>
        </w:rPr>
        <w:t>When partial offloading case happens (Case#3), open to further discuss which higher priority layer measurement requirement should be applied</w:t>
      </w:r>
    </w:p>
    <w:p>
      <w:pPr>
        <w:numPr>
          <w:ilvl w:val="0"/>
          <w:numId w:val="0"/>
        </w:numPr>
        <w:spacing w:before="60"/>
        <w:jc w:val="both"/>
        <w:rPr>
          <w:rFonts w:hint="default" w:eastAsia="宋体"/>
          <w:color w:val="000000" w:themeColor="text1"/>
          <w:szCs w:val="24"/>
          <w:lang w:val="en-US" w:eastAsia="zh-CN"/>
          <w14:textFill>
            <w14:solidFill>
              <w14:schemeClr w14:val="tx1"/>
            </w14:solidFill>
          </w14:textFill>
        </w:rPr>
      </w:pPr>
      <w:r>
        <w:rPr>
          <w:rFonts w:hint="eastAsia"/>
          <w:b/>
          <w:bCs/>
          <w:i/>
          <w:iCs/>
          <w:sz w:val="20"/>
          <w:szCs w:val="20"/>
          <w:lang w:val="en-US" w:eastAsia="zh-CN"/>
        </w:rPr>
        <w:t>Proposal 6: For IDLE/Inactive mode measurement accuracy, reflect the accuracy performance as a margin in the core requirement.</w:t>
      </w:r>
    </w:p>
    <w:p>
      <w:pPr>
        <w:numPr>
          <w:ilvl w:val="0"/>
          <w:numId w:val="0"/>
        </w:numPr>
        <w:spacing w:before="60"/>
        <w:jc w:val="both"/>
        <w:rPr>
          <w:rFonts w:hint="eastAsia"/>
          <w:b/>
          <w:color w:val="000000" w:themeColor="text1"/>
          <w:u w:val="single"/>
          <w:lang w:val="en-US" w:eastAsia="zh-CN"/>
          <w14:textFill>
            <w14:solidFill>
              <w14:schemeClr w14:val="tx1"/>
            </w14:solidFill>
          </w14:textFill>
        </w:rPr>
      </w:pPr>
      <w:r>
        <w:rPr>
          <w:rFonts w:hint="eastAsia"/>
          <w:b/>
          <w:bCs/>
          <w:i/>
          <w:iCs/>
          <w:sz w:val="20"/>
          <w:szCs w:val="20"/>
          <w:lang w:val="en-US" w:eastAsia="zh-CN"/>
        </w:rPr>
        <w:t>Proposal 7: For the entry/exit criteria evaluation, the evaluation period can be the same as MR and/or LR measurement period.</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8: For the interruption between LP-WUS (with paging indication) reception and MR to start paging monitoring, postpone the discussion and wait for more RAN1 progress.</w:t>
      </w:r>
    </w:p>
    <w:p>
      <w:pPr>
        <w:numPr>
          <w:ilvl w:val="0"/>
          <w:numId w:val="0"/>
        </w:numPr>
        <w:spacing w:before="60"/>
        <w:jc w:val="both"/>
        <w:rPr>
          <w:rFonts w:hint="eastAsia"/>
          <w:b/>
          <w:bCs/>
          <w:i/>
          <w:iCs/>
          <w:sz w:val="20"/>
          <w:szCs w:val="20"/>
          <w:lang w:val="en-US" w:eastAsia="zh-CN"/>
        </w:rPr>
      </w:pPr>
      <w:r>
        <w:rPr>
          <w:rFonts w:hint="eastAsia"/>
          <w:b/>
          <w:bCs/>
          <w:i/>
          <w:iCs/>
          <w:sz w:val="20"/>
          <w:szCs w:val="20"/>
          <w:lang w:val="en-US" w:eastAsia="zh-CN"/>
        </w:rPr>
        <w:t>Proposal 9: MR based serving cell measurement and neighbouring cell measurement requirement should be specified. The scaling factor should guarantee the mobility performance, measurement accuracy and power saving gain simultaneously.</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 xml:space="preserve">Proposal 10: For the measurement based on both MR with RRM relaxation (X time relaxation) and LP-WUR, X =8 can be the starting point.   </w:t>
      </w:r>
    </w:p>
    <w:p>
      <w:pPr>
        <w:numPr>
          <w:ilvl w:val="0"/>
          <w:numId w:val="0"/>
        </w:numPr>
        <w:spacing w:before="60"/>
        <w:jc w:val="both"/>
        <w:rPr>
          <w:rFonts w:hint="default"/>
          <w:b/>
          <w:bCs/>
          <w:i/>
          <w:iCs/>
          <w:sz w:val="20"/>
          <w:szCs w:val="20"/>
          <w:lang w:val="en-US" w:eastAsia="zh-CN"/>
        </w:rPr>
      </w:pPr>
      <w:r>
        <w:rPr>
          <w:rFonts w:hint="eastAsia"/>
          <w:b/>
          <w:bCs/>
          <w:i/>
          <w:iCs/>
          <w:sz w:val="20"/>
          <w:szCs w:val="20"/>
          <w:lang w:val="en-US" w:eastAsia="zh-CN"/>
        </w:rPr>
        <w:t>Proposal 11: The legacy accuracy for relaxed MR measurement should be reused for Case#3.</w:t>
      </w:r>
    </w:p>
    <w:p>
      <w:pPr>
        <w:numPr>
          <w:ilvl w:val="0"/>
          <w:numId w:val="0"/>
        </w:numPr>
        <w:spacing w:before="60"/>
        <w:jc w:val="both"/>
        <w:rPr>
          <w:rFonts w:hint="default"/>
          <w:sz w:val="21"/>
          <w:szCs w:val="21"/>
          <w:lang w:val="en-US" w:eastAsia="zh-CN"/>
        </w:rPr>
      </w:pPr>
      <w:r>
        <w:rPr>
          <w:rFonts w:hint="eastAsia"/>
          <w:b/>
          <w:bCs/>
          <w:i/>
          <w:iCs/>
          <w:sz w:val="20"/>
          <w:szCs w:val="20"/>
          <w:lang w:val="en-US" w:eastAsia="zh-CN"/>
        </w:rPr>
        <w:t>Proposal 12: The methodology of EMR requirement definition under each Cases can refer to the methodology of high priority layer measurement requirement definition.</w:t>
      </w:r>
    </w:p>
    <w:p>
      <w:pPr>
        <w:spacing w:before="60"/>
        <w:rPr>
          <w:sz w:val="20"/>
          <w:szCs w:val="20"/>
        </w:rPr>
      </w:pP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13"/>
        </w:numPr>
        <w:rPr>
          <w:rFonts w:hint="default" w:ascii="Times New Roman" w:hAnsi="Times New Roman"/>
          <w:sz w:val="20"/>
          <w:lang w:val="en-US" w:eastAsia="zh-CN"/>
        </w:rPr>
      </w:pPr>
      <w:r>
        <w:rPr>
          <w:rFonts w:hint="eastAsia"/>
          <w:sz w:val="20"/>
          <w:szCs w:val="20"/>
          <w:lang w:val="en-GB"/>
        </w:rPr>
        <w:t>R4-241</w:t>
      </w:r>
      <w:r>
        <w:rPr>
          <w:rFonts w:hint="eastAsia"/>
          <w:sz w:val="20"/>
          <w:szCs w:val="20"/>
          <w:lang w:val="en-US" w:eastAsia="zh-CN"/>
        </w:rPr>
        <w:t>6861, WF on RRM requirements for NR_LPWUS, vivo</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F15DE"/>
    <w:multiLevelType w:val="singleLevel"/>
    <w:tmpl w:val="C78F15DE"/>
    <w:lvl w:ilvl="0" w:tentative="0">
      <w:start w:val="1"/>
      <w:numFmt w:val="bullet"/>
      <w:lvlText w:val=""/>
      <w:lvlJc w:val="left"/>
      <w:pPr>
        <w:ind w:left="420" w:hanging="420"/>
      </w:pPr>
      <w:rPr>
        <w:rFonts w:hint="default" w:ascii="Wingdings" w:hAnsi="Wingdings"/>
      </w:rPr>
    </w:lvl>
  </w:abstractNum>
  <w:abstractNum w:abstractNumId="1">
    <w:nsid w:val="CC7F3C24"/>
    <w:multiLevelType w:val="singleLevel"/>
    <w:tmpl w:val="CC7F3C24"/>
    <w:lvl w:ilvl="0" w:tentative="0">
      <w:start w:val="1"/>
      <w:numFmt w:val="bullet"/>
      <w:lvlText w:val=""/>
      <w:lvlJc w:val="left"/>
      <w:pPr>
        <w:ind w:left="420" w:hanging="420"/>
      </w:pPr>
      <w:rPr>
        <w:rFonts w:hint="default" w:ascii="Wingdings" w:hAnsi="Wingdings"/>
      </w:rPr>
    </w:lvl>
  </w:abstractNum>
  <w:abstractNum w:abstractNumId="2">
    <w:nsid w:val="FE8E394F"/>
    <w:multiLevelType w:val="multilevel"/>
    <w:tmpl w:val="FE8E394F"/>
    <w:lvl w:ilvl="0" w:tentative="0">
      <w:start w:val="1"/>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3">
    <w:nsid w:val="05E72C80"/>
    <w:multiLevelType w:val="multilevel"/>
    <w:tmpl w:val="05E72C80"/>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05E84BC3"/>
    <w:multiLevelType w:val="multilevel"/>
    <w:tmpl w:val="05E84BC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CD0AAAE"/>
    <w:multiLevelType w:val="singleLevel"/>
    <w:tmpl w:val="1CD0AAAE"/>
    <w:lvl w:ilvl="0" w:tentative="0">
      <w:start w:val="1"/>
      <w:numFmt w:val="bullet"/>
      <w:lvlText w:val=""/>
      <w:lvlJc w:val="left"/>
      <w:pPr>
        <w:ind w:left="420" w:hanging="420"/>
      </w:pPr>
      <w:rPr>
        <w:rFonts w:hint="default" w:ascii="Wingdings" w:hAnsi="Wingdings"/>
      </w:r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5C85C9A"/>
    <w:multiLevelType w:val="singleLevel"/>
    <w:tmpl w:val="65C85C9A"/>
    <w:lvl w:ilvl="0" w:tentative="0">
      <w:start w:val="1"/>
      <w:numFmt w:val="decimal"/>
      <w:suff w:val="space"/>
      <w:lvlText w:val="[%1]"/>
      <w:lvlJc w:val="left"/>
    </w:lvl>
  </w:abstractNum>
  <w:abstractNum w:abstractNumId="9">
    <w:nsid w:val="6A3B38BC"/>
    <w:multiLevelType w:val="multilevel"/>
    <w:tmpl w:val="6A3B38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11">
    <w:nsid w:val="70146DC0"/>
    <w:multiLevelType w:val="multilevel"/>
    <w:tmpl w:val="70146DC0"/>
    <w:lvl w:ilvl="0" w:tentative="0">
      <w:start w:val="1"/>
      <w:numFmt w:val="bullet"/>
      <w:pStyle w:val="88"/>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2"/>
  </w:num>
  <w:num w:numId="2">
    <w:abstractNumId w:val="10"/>
  </w:num>
  <w:num w:numId="3">
    <w:abstractNumId w:val="11"/>
  </w:num>
  <w:num w:numId="4">
    <w:abstractNumId w:val="6"/>
  </w:num>
  <w:num w:numId="5">
    <w:abstractNumId w:val="0"/>
  </w:num>
  <w:num w:numId="6">
    <w:abstractNumId w:val="7"/>
  </w:num>
  <w:num w:numId="7">
    <w:abstractNumId w:val="9"/>
  </w:num>
  <w:num w:numId="8">
    <w:abstractNumId w:val="5"/>
  </w:num>
  <w:num w:numId="9">
    <w:abstractNumId w:val="2"/>
  </w:num>
  <w:num w:numId="10">
    <w:abstractNumId w:val="1"/>
  </w:num>
  <w:num w:numId="11">
    <w:abstractNumId w:val="4"/>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C3E"/>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1CD9"/>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5DC"/>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365"/>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042D"/>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B26"/>
    <w:rsid w:val="000C3D14"/>
    <w:rsid w:val="000C3E02"/>
    <w:rsid w:val="000C42DD"/>
    <w:rsid w:val="000C4566"/>
    <w:rsid w:val="000C4CA3"/>
    <w:rsid w:val="000C51A3"/>
    <w:rsid w:val="000C529D"/>
    <w:rsid w:val="000C5F94"/>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3E5"/>
    <w:rsid w:val="000E2611"/>
    <w:rsid w:val="000E2A45"/>
    <w:rsid w:val="000E30F5"/>
    <w:rsid w:val="000E37E4"/>
    <w:rsid w:val="000E3EDA"/>
    <w:rsid w:val="000E4A59"/>
    <w:rsid w:val="000E4A88"/>
    <w:rsid w:val="000E4B40"/>
    <w:rsid w:val="000E4DBD"/>
    <w:rsid w:val="000E5269"/>
    <w:rsid w:val="000E5428"/>
    <w:rsid w:val="000E5772"/>
    <w:rsid w:val="000E58A1"/>
    <w:rsid w:val="000E58C5"/>
    <w:rsid w:val="000E72E5"/>
    <w:rsid w:val="000E7744"/>
    <w:rsid w:val="000E7BE4"/>
    <w:rsid w:val="000E7C25"/>
    <w:rsid w:val="000E7D09"/>
    <w:rsid w:val="000E7F61"/>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1519"/>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C4E"/>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DE5"/>
    <w:rsid w:val="00154F4C"/>
    <w:rsid w:val="00155A79"/>
    <w:rsid w:val="00155F45"/>
    <w:rsid w:val="001568A6"/>
    <w:rsid w:val="00156F80"/>
    <w:rsid w:val="00157515"/>
    <w:rsid w:val="001576E8"/>
    <w:rsid w:val="00157B4B"/>
    <w:rsid w:val="001602CC"/>
    <w:rsid w:val="00160BDE"/>
    <w:rsid w:val="00161246"/>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709"/>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3FA"/>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01F"/>
    <w:rsid w:val="001E410B"/>
    <w:rsid w:val="001E437D"/>
    <w:rsid w:val="001E4400"/>
    <w:rsid w:val="001E4CDA"/>
    <w:rsid w:val="001E5447"/>
    <w:rsid w:val="001E5634"/>
    <w:rsid w:val="001E5F4E"/>
    <w:rsid w:val="001E6BEA"/>
    <w:rsid w:val="001E70FF"/>
    <w:rsid w:val="001F0244"/>
    <w:rsid w:val="001F02ED"/>
    <w:rsid w:val="001F093C"/>
    <w:rsid w:val="001F11BB"/>
    <w:rsid w:val="001F1550"/>
    <w:rsid w:val="001F155D"/>
    <w:rsid w:val="001F1744"/>
    <w:rsid w:val="001F18F6"/>
    <w:rsid w:val="001F19D9"/>
    <w:rsid w:val="001F1C1A"/>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094"/>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20C"/>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5F8"/>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B7"/>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0CC"/>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CCA"/>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0AC0"/>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6A7"/>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759"/>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0D4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205"/>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3BD"/>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9A5"/>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153"/>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A73"/>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5F7E"/>
    <w:rsid w:val="00446573"/>
    <w:rsid w:val="00446926"/>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1A82"/>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6E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3DEF"/>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0F29"/>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134"/>
    <w:rsid w:val="00506897"/>
    <w:rsid w:val="00506BF0"/>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3FA"/>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37"/>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5938"/>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3EC9"/>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2EC"/>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45A"/>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1B"/>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3A8"/>
    <w:rsid w:val="005C36FC"/>
    <w:rsid w:val="005C445B"/>
    <w:rsid w:val="005C4601"/>
    <w:rsid w:val="005C4AFF"/>
    <w:rsid w:val="005C4E7C"/>
    <w:rsid w:val="005C5382"/>
    <w:rsid w:val="005C5B41"/>
    <w:rsid w:val="005C5B54"/>
    <w:rsid w:val="005C613A"/>
    <w:rsid w:val="005C6329"/>
    <w:rsid w:val="005C71B6"/>
    <w:rsid w:val="005C7754"/>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5CF5"/>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403"/>
    <w:rsid w:val="00606C75"/>
    <w:rsid w:val="00606FC0"/>
    <w:rsid w:val="006078A3"/>
    <w:rsid w:val="006079B9"/>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5D"/>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37A65"/>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C78"/>
    <w:rsid w:val="00653E95"/>
    <w:rsid w:val="00654409"/>
    <w:rsid w:val="0065453F"/>
    <w:rsid w:val="00654542"/>
    <w:rsid w:val="006548E7"/>
    <w:rsid w:val="00655088"/>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838"/>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4B3F"/>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18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FA"/>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8DA"/>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2ECE"/>
    <w:rsid w:val="006C305B"/>
    <w:rsid w:val="006C35EF"/>
    <w:rsid w:val="006C3623"/>
    <w:rsid w:val="006C36AB"/>
    <w:rsid w:val="006C38C5"/>
    <w:rsid w:val="006C3DE3"/>
    <w:rsid w:val="006C3E5D"/>
    <w:rsid w:val="006C420D"/>
    <w:rsid w:val="006C47DD"/>
    <w:rsid w:val="006C4D5C"/>
    <w:rsid w:val="006C534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67FAB"/>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2E59"/>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4E0"/>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BD9"/>
    <w:rsid w:val="007F3F77"/>
    <w:rsid w:val="007F40EA"/>
    <w:rsid w:val="007F44FA"/>
    <w:rsid w:val="007F5085"/>
    <w:rsid w:val="007F5338"/>
    <w:rsid w:val="007F5BC4"/>
    <w:rsid w:val="007F5F8C"/>
    <w:rsid w:val="007F77A8"/>
    <w:rsid w:val="008006F1"/>
    <w:rsid w:val="008016F2"/>
    <w:rsid w:val="0080193D"/>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9F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66D"/>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21B"/>
    <w:rsid w:val="008805DD"/>
    <w:rsid w:val="00880753"/>
    <w:rsid w:val="0088110E"/>
    <w:rsid w:val="008816DB"/>
    <w:rsid w:val="0088195F"/>
    <w:rsid w:val="00881EB9"/>
    <w:rsid w:val="008821A1"/>
    <w:rsid w:val="00882307"/>
    <w:rsid w:val="00882789"/>
    <w:rsid w:val="008832FA"/>
    <w:rsid w:val="00883D9D"/>
    <w:rsid w:val="00883DC2"/>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981"/>
    <w:rsid w:val="00887B18"/>
    <w:rsid w:val="00890118"/>
    <w:rsid w:val="008901B2"/>
    <w:rsid w:val="008909DE"/>
    <w:rsid w:val="00890A43"/>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48B"/>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AA2"/>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3E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56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CD1"/>
    <w:rsid w:val="00915DD7"/>
    <w:rsid w:val="00916280"/>
    <w:rsid w:val="00916311"/>
    <w:rsid w:val="0091665E"/>
    <w:rsid w:val="00916B86"/>
    <w:rsid w:val="00916D08"/>
    <w:rsid w:val="00916F3C"/>
    <w:rsid w:val="00917026"/>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A85"/>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C29"/>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9F5"/>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CB8"/>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B7C2F"/>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85A"/>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918"/>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21E"/>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141"/>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0BA"/>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5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3FE"/>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2FEF"/>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952"/>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3DA"/>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2F11"/>
    <w:rsid w:val="00B13C39"/>
    <w:rsid w:val="00B13D41"/>
    <w:rsid w:val="00B13F07"/>
    <w:rsid w:val="00B1454E"/>
    <w:rsid w:val="00B14E10"/>
    <w:rsid w:val="00B1635E"/>
    <w:rsid w:val="00B170F7"/>
    <w:rsid w:val="00B172AE"/>
    <w:rsid w:val="00B175E1"/>
    <w:rsid w:val="00B17E17"/>
    <w:rsid w:val="00B2069F"/>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B4"/>
    <w:rsid w:val="00B458DD"/>
    <w:rsid w:val="00B459C7"/>
    <w:rsid w:val="00B45AB4"/>
    <w:rsid w:val="00B45F74"/>
    <w:rsid w:val="00B46263"/>
    <w:rsid w:val="00B468CB"/>
    <w:rsid w:val="00B4722C"/>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3FCF"/>
    <w:rsid w:val="00B64044"/>
    <w:rsid w:val="00B6404E"/>
    <w:rsid w:val="00B64CFB"/>
    <w:rsid w:val="00B65014"/>
    <w:rsid w:val="00B65017"/>
    <w:rsid w:val="00B6551B"/>
    <w:rsid w:val="00B655CD"/>
    <w:rsid w:val="00B65AB8"/>
    <w:rsid w:val="00B65ABE"/>
    <w:rsid w:val="00B664AE"/>
    <w:rsid w:val="00B66B75"/>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3FEC"/>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6BA"/>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3A8"/>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B74E5"/>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1B69"/>
    <w:rsid w:val="00BE2F07"/>
    <w:rsid w:val="00BE3C4D"/>
    <w:rsid w:val="00BE3CD0"/>
    <w:rsid w:val="00BE3D1A"/>
    <w:rsid w:val="00BE482A"/>
    <w:rsid w:val="00BE5038"/>
    <w:rsid w:val="00BE53A4"/>
    <w:rsid w:val="00BE5F26"/>
    <w:rsid w:val="00BE5F4F"/>
    <w:rsid w:val="00BE61F7"/>
    <w:rsid w:val="00BE65B8"/>
    <w:rsid w:val="00BE6C54"/>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46F"/>
    <w:rsid w:val="00C02470"/>
    <w:rsid w:val="00C0262F"/>
    <w:rsid w:val="00C02814"/>
    <w:rsid w:val="00C0331C"/>
    <w:rsid w:val="00C036E2"/>
    <w:rsid w:val="00C03A60"/>
    <w:rsid w:val="00C03F82"/>
    <w:rsid w:val="00C04624"/>
    <w:rsid w:val="00C048F9"/>
    <w:rsid w:val="00C04C21"/>
    <w:rsid w:val="00C0538C"/>
    <w:rsid w:val="00C05530"/>
    <w:rsid w:val="00C06027"/>
    <w:rsid w:val="00C063BE"/>
    <w:rsid w:val="00C0658D"/>
    <w:rsid w:val="00C06913"/>
    <w:rsid w:val="00C06BC1"/>
    <w:rsid w:val="00C07E0D"/>
    <w:rsid w:val="00C07F1E"/>
    <w:rsid w:val="00C10225"/>
    <w:rsid w:val="00C1022D"/>
    <w:rsid w:val="00C1041D"/>
    <w:rsid w:val="00C10A7E"/>
    <w:rsid w:val="00C10C66"/>
    <w:rsid w:val="00C10D20"/>
    <w:rsid w:val="00C11994"/>
    <w:rsid w:val="00C121D6"/>
    <w:rsid w:val="00C12287"/>
    <w:rsid w:val="00C133C4"/>
    <w:rsid w:val="00C13A7A"/>
    <w:rsid w:val="00C13AF8"/>
    <w:rsid w:val="00C13B20"/>
    <w:rsid w:val="00C1443E"/>
    <w:rsid w:val="00C14F91"/>
    <w:rsid w:val="00C150C3"/>
    <w:rsid w:val="00C15443"/>
    <w:rsid w:val="00C15AC0"/>
    <w:rsid w:val="00C15E3E"/>
    <w:rsid w:val="00C163DA"/>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182"/>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789"/>
    <w:rsid w:val="00C76BDB"/>
    <w:rsid w:val="00C76D0F"/>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B7F0D"/>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94"/>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C78"/>
    <w:rsid w:val="00CE3F8A"/>
    <w:rsid w:val="00CE4079"/>
    <w:rsid w:val="00CE4A82"/>
    <w:rsid w:val="00CE4EF3"/>
    <w:rsid w:val="00CE4F5B"/>
    <w:rsid w:val="00CE5421"/>
    <w:rsid w:val="00CE5703"/>
    <w:rsid w:val="00CE59B2"/>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3C2"/>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5DEA"/>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AD7"/>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054F"/>
    <w:rsid w:val="00D91FC8"/>
    <w:rsid w:val="00D9273E"/>
    <w:rsid w:val="00D927EB"/>
    <w:rsid w:val="00D935DE"/>
    <w:rsid w:val="00D93D21"/>
    <w:rsid w:val="00D94185"/>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B7FAE"/>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23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988"/>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D48"/>
    <w:rsid w:val="00E26FA7"/>
    <w:rsid w:val="00E27454"/>
    <w:rsid w:val="00E275BF"/>
    <w:rsid w:val="00E279D0"/>
    <w:rsid w:val="00E27CE1"/>
    <w:rsid w:val="00E27E13"/>
    <w:rsid w:val="00E3107E"/>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DD6"/>
    <w:rsid w:val="00E62F90"/>
    <w:rsid w:val="00E63F4D"/>
    <w:rsid w:val="00E63FE1"/>
    <w:rsid w:val="00E646B4"/>
    <w:rsid w:val="00E64CE2"/>
    <w:rsid w:val="00E64DF3"/>
    <w:rsid w:val="00E64E01"/>
    <w:rsid w:val="00E65058"/>
    <w:rsid w:val="00E65487"/>
    <w:rsid w:val="00E654C6"/>
    <w:rsid w:val="00E65768"/>
    <w:rsid w:val="00E65846"/>
    <w:rsid w:val="00E66DBA"/>
    <w:rsid w:val="00E70279"/>
    <w:rsid w:val="00E70B54"/>
    <w:rsid w:val="00E70C1C"/>
    <w:rsid w:val="00E70F3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765"/>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71"/>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65A"/>
    <w:rsid w:val="00F2488B"/>
    <w:rsid w:val="00F24F71"/>
    <w:rsid w:val="00F253A0"/>
    <w:rsid w:val="00F25571"/>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5A8"/>
    <w:rsid w:val="00F32A3F"/>
    <w:rsid w:val="00F3348D"/>
    <w:rsid w:val="00F34A4A"/>
    <w:rsid w:val="00F34DA9"/>
    <w:rsid w:val="00F34F3A"/>
    <w:rsid w:val="00F35B6A"/>
    <w:rsid w:val="00F35C29"/>
    <w:rsid w:val="00F36155"/>
    <w:rsid w:val="00F36413"/>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E05"/>
    <w:rsid w:val="00F46F09"/>
    <w:rsid w:val="00F46F72"/>
    <w:rsid w:val="00F46FB9"/>
    <w:rsid w:val="00F4704F"/>
    <w:rsid w:val="00F47107"/>
    <w:rsid w:val="00F4722D"/>
    <w:rsid w:val="00F47C83"/>
    <w:rsid w:val="00F505E1"/>
    <w:rsid w:val="00F5129E"/>
    <w:rsid w:val="00F51B63"/>
    <w:rsid w:val="00F531AA"/>
    <w:rsid w:val="00F533A1"/>
    <w:rsid w:val="00F53BA7"/>
    <w:rsid w:val="00F549B4"/>
    <w:rsid w:val="00F54EC5"/>
    <w:rsid w:val="00F55EB6"/>
    <w:rsid w:val="00F55EFF"/>
    <w:rsid w:val="00F56016"/>
    <w:rsid w:val="00F56714"/>
    <w:rsid w:val="00F567E3"/>
    <w:rsid w:val="00F567F5"/>
    <w:rsid w:val="00F56AFA"/>
    <w:rsid w:val="00F570E6"/>
    <w:rsid w:val="00F57347"/>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0E2"/>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8C9"/>
    <w:rsid w:val="00F84C9B"/>
    <w:rsid w:val="00F854B6"/>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666"/>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81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3878"/>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4DE"/>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3A8"/>
    <w:rsid w:val="00FF6705"/>
    <w:rsid w:val="00FF681B"/>
    <w:rsid w:val="00FF6F07"/>
    <w:rsid w:val="00FF6F9C"/>
    <w:rsid w:val="00FF74C0"/>
    <w:rsid w:val="00FF785C"/>
    <w:rsid w:val="00FF7973"/>
    <w:rsid w:val="00FF7D81"/>
    <w:rsid w:val="00FF7D91"/>
    <w:rsid w:val="017264F6"/>
    <w:rsid w:val="026553AD"/>
    <w:rsid w:val="0356125E"/>
    <w:rsid w:val="038D13C7"/>
    <w:rsid w:val="03E33755"/>
    <w:rsid w:val="043A58AB"/>
    <w:rsid w:val="048A1C70"/>
    <w:rsid w:val="049C3AD5"/>
    <w:rsid w:val="04AF3E80"/>
    <w:rsid w:val="061F6C01"/>
    <w:rsid w:val="0620091D"/>
    <w:rsid w:val="062F62AF"/>
    <w:rsid w:val="06CA7932"/>
    <w:rsid w:val="070002A7"/>
    <w:rsid w:val="077C1411"/>
    <w:rsid w:val="081F0DE8"/>
    <w:rsid w:val="082A02ED"/>
    <w:rsid w:val="087C4EF9"/>
    <w:rsid w:val="09461324"/>
    <w:rsid w:val="099B54B4"/>
    <w:rsid w:val="09F303AF"/>
    <w:rsid w:val="0A3B0786"/>
    <w:rsid w:val="0A405571"/>
    <w:rsid w:val="0B123BC4"/>
    <w:rsid w:val="0B48567B"/>
    <w:rsid w:val="0C031150"/>
    <w:rsid w:val="0E0F2590"/>
    <w:rsid w:val="0E40223A"/>
    <w:rsid w:val="0EE74838"/>
    <w:rsid w:val="10001E3A"/>
    <w:rsid w:val="106F4ED8"/>
    <w:rsid w:val="11677F10"/>
    <w:rsid w:val="11BB3910"/>
    <w:rsid w:val="11E7300D"/>
    <w:rsid w:val="121769BF"/>
    <w:rsid w:val="12A40DAF"/>
    <w:rsid w:val="132C5366"/>
    <w:rsid w:val="1357122A"/>
    <w:rsid w:val="14095135"/>
    <w:rsid w:val="14F41582"/>
    <w:rsid w:val="15684BB0"/>
    <w:rsid w:val="15F40D56"/>
    <w:rsid w:val="16E01E1A"/>
    <w:rsid w:val="17173A55"/>
    <w:rsid w:val="1744345F"/>
    <w:rsid w:val="1769421D"/>
    <w:rsid w:val="179A47FF"/>
    <w:rsid w:val="180401FA"/>
    <w:rsid w:val="180A4855"/>
    <w:rsid w:val="195448E3"/>
    <w:rsid w:val="19A85AA6"/>
    <w:rsid w:val="19E26B69"/>
    <w:rsid w:val="19EA6BAE"/>
    <w:rsid w:val="1B0D39DF"/>
    <w:rsid w:val="1B581F69"/>
    <w:rsid w:val="1B873B39"/>
    <w:rsid w:val="1BC86F3E"/>
    <w:rsid w:val="1BF31B8E"/>
    <w:rsid w:val="1CA41DF6"/>
    <w:rsid w:val="1CFA3475"/>
    <w:rsid w:val="1D331922"/>
    <w:rsid w:val="1E611F29"/>
    <w:rsid w:val="1EB26218"/>
    <w:rsid w:val="1F510D7B"/>
    <w:rsid w:val="1FE62FE2"/>
    <w:rsid w:val="209B46C6"/>
    <w:rsid w:val="20D22409"/>
    <w:rsid w:val="220C2022"/>
    <w:rsid w:val="2286600C"/>
    <w:rsid w:val="23560518"/>
    <w:rsid w:val="23B07237"/>
    <w:rsid w:val="24231158"/>
    <w:rsid w:val="2477265B"/>
    <w:rsid w:val="25E672AF"/>
    <w:rsid w:val="25FA71A7"/>
    <w:rsid w:val="29B17D5C"/>
    <w:rsid w:val="29D96DE6"/>
    <w:rsid w:val="2A017181"/>
    <w:rsid w:val="2A096906"/>
    <w:rsid w:val="2A852E16"/>
    <w:rsid w:val="2B935F8B"/>
    <w:rsid w:val="2C7D36A6"/>
    <w:rsid w:val="2D275BA3"/>
    <w:rsid w:val="2D2937A4"/>
    <w:rsid w:val="2DA12880"/>
    <w:rsid w:val="2E3F5130"/>
    <w:rsid w:val="2EA436B8"/>
    <w:rsid w:val="2F435E75"/>
    <w:rsid w:val="316C4699"/>
    <w:rsid w:val="31D5300E"/>
    <w:rsid w:val="32452C35"/>
    <w:rsid w:val="32852BB9"/>
    <w:rsid w:val="335812CC"/>
    <w:rsid w:val="33625746"/>
    <w:rsid w:val="344C1AB1"/>
    <w:rsid w:val="34842458"/>
    <w:rsid w:val="34871B7C"/>
    <w:rsid w:val="348D1EBF"/>
    <w:rsid w:val="34AD46FA"/>
    <w:rsid w:val="34FF4619"/>
    <w:rsid w:val="355E7EBE"/>
    <w:rsid w:val="35D85D9C"/>
    <w:rsid w:val="36C97283"/>
    <w:rsid w:val="371057F5"/>
    <w:rsid w:val="3A947EA8"/>
    <w:rsid w:val="3A99673A"/>
    <w:rsid w:val="3D240DAA"/>
    <w:rsid w:val="3E0317B2"/>
    <w:rsid w:val="3E0456CC"/>
    <w:rsid w:val="3E5B3A27"/>
    <w:rsid w:val="3FA125F1"/>
    <w:rsid w:val="404C1A85"/>
    <w:rsid w:val="4067769B"/>
    <w:rsid w:val="419926B2"/>
    <w:rsid w:val="41A86B47"/>
    <w:rsid w:val="41E220B6"/>
    <w:rsid w:val="41F22847"/>
    <w:rsid w:val="4272131F"/>
    <w:rsid w:val="427B5BFE"/>
    <w:rsid w:val="43B92166"/>
    <w:rsid w:val="449B6469"/>
    <w:rsid w:val="483702F5"/>
    <w:rsid w:val="48DF3E68"/>
    <w:rsid w:val="496124C9"/>
    <w:rsid w:val="4981416D"/>
    <w:rsid w:val="49F70D7E"/>
    <w:rsid w:val="4ACB2686"/>
    <w:rsid w:val="4C7732C7"/>
    <w:rsid w:val="4E3C4D46"/>
    <w:rsid w:val="4EDF5C92"/>
    <w:rsid w:val="50062CBA"/>
    <w:rsid w:val="52704D12"/>
    <w:rsid w:val="529918CE"/>
    <w:rsid w:val="543D4952"/>
    <w:rsid w:val="547728AF"/>
    <w:rsid w:val="549A20E2"/>
    <w:rsid w:val="560739EF"/>
    <w:rsid w:val="568E39EC"/>
    <w:rsid w:val="569B70A9"/>
    <w:rsid w:val="56CD7822"/>
    <w:rsid w:val="57116BC1"/>
    <w:rsid w:val="57B1507D"/>
    <w:rsid w:val="580435EA"/>
    <w:rsid w:val="580E6663"/>
    <w:rsid w:val="590C47E4"/>
    <w:rsid w:val="59483156"/>
    <w:rsid w:val="59EB7D63"/>
    <w:rsid w:val="59F32604"/>
    <w:rsid w:val="5A3A5DD6"/>
    <w:rsid w:val="5AAC31E8"/>
    <w:rsid w:val="5AC92280"/>
    <w:rsid w:val="5BB77C14"/>
    <w:rsid w:val="5C376DA8"/>
    <w:rsid w:val="5D904821"/>
    <w:rsid w:val="5DF816FE"/>
    <w:rsid w:val="5E123B5A"/>
    <w:rsid w:val="5E511501"/>
    <w:rsid w:val="5EC02F59"/>
    <w:rsid w:val="5EFE064F"/>
    <w:rsid w:val="60CF13EE"/>
    <w:rsid w:val="62084CF3"/>
    <w:rsid w:val="62AA085A"/>
    <w:rsid w:val="657B3C25"/>
    <w:rsid w:val="65E359B8"/>
    <w:rsid w:val="65E868EF"/>
    <w:rsid w:val="66C83DD1"/>
    <w:rsid w:val="679B7F3E"/>
    <w:rsid w:val="682928EE"/>
    <w:rsid w:val="69067CBE"/>
    <w:rsid w:val="6A0A1799"/>
    <w:rsid w:val="6B2E4316"/>
    <w:rsid w:val="6BE55234"/>
    <w:rsid w:val="6DD63CD1"/>
    <w:rsid w:val="6FFC4D49"/>
    <w:rsid w:val="704D029C"/>
    <w:rsid w:val="70ED1816"/>
    <w:rsid w:val="72431F7D"/>
    <w:rsid w:val="72713655"/>
    <w:rsid w:val="729B686F"/>
    <w:rsid w:val="72A10532"/>
    <w:rsid w:val="731629DD"/>
    <w:rsid w:val="73703706"/>
    <w:rsid w:val="766671EE"/>
    <w:rsid w:val="767C72BC"/>
    <w:rsid w:val="771506CA"/>
    <w:rsid w:val="78A310D1"/>
    <w:rsid w:val="78B804CC"/>
    <w:rsid w:val="799727D8"/>
    <w:rsid w:val="7A077BF9"/>
    <w:rsid w:val="7A79519C"/>
    <w:rsid w:val="7AD51A33"/>
    <w:rsid w:val="7ADD4010"/>
    <w:rsid w:val="7B311EAC"/>
    <w:rsid w:val="7BBA65DF"/>
    <w:rsid w:val="7C36041D"/>
    <w:rsid w:val="7C42596D"/>
    <w:rsid w:val="7CD1297B"/>
    <w:rsid w:val="7EC44CCD"/>
    <w:rsid w:val="7F0607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ody Text"/>
    <w:basedOn w:val="1"/>
    <w:link w:val="86"/>
    <w:qFormat/>
    <w:uiPriority w:val="0"/>
    <w:pPr>
      <w:spacing w:after="120"/>
      <w:jc w:val="both"/>
    </w:pPr>
    <w:rPr>
      <w:rFonts w:eastAsia="MS Mincho"/>
      <w:sz w:val="20"/>
      <w:lang w:val="zh-CN" w:eastAsia="en-US"/>
    </w:rPr>
  </w:style>
  <w:style w:type="paragraph" w:styleId="14">
    <w:name w:val="Balloon Text"/>
    <w:basedOn w:val="1"/>
    <w:link w:val="46"/>
    <w:semiHidden/>
    <w:unhideWhenUsed/>
    <w:qFormat/>
    <w:uiPriority w:val="99"/>
    <w:rPr>
      <w:rFonts w:ascii="Cambria Math" w:hAnsi="Cambria Math" w:eastAsia="Cambria Math"/>
      <w:sz w:val="18"/>
      <w:szCs w:val="18"/>
    </w:rPr>
  </w:style>
  <w:style w:type="paragraph" w:styleId="15">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99"/>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99"/>
    <w:rPr>
      <w:b/>
      <w:bCs/>
    </w:rPr>
  </w:style>
  <w:style w:type="character" w:customStyle="1" w:styleId="33">
    <w:name w:val="TAH Car"/>
    <w:link w:val="32"/>
    <w:qFormat/>
    <w:uiPriority w:val="99"/>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4"/>
    <w:semiHidden/>
    <w:qFormat/>
    <w:uiPriority w:val="99"/>
    <w:rPr>
      <w:rFonts w:ascii="Cambria Math" w:eastAsia="Cambria Math"/>
      <w:sz w:val="18"/>
      <w:szCs w:val="18"/>
    </w:rPr>
  </w:style>
  <w:style w:type="character" w:customStyle="1" w:styleId="47">
    <w:name w:val="页脚 字符"/>
    <w:link w:val="15"/>
    <w:qFormat/>
    <w:uiPriority w:val="99"/>
    <w:rPr>
      <w:sz w:val="18"/>
      <w:szCs w:val="18"/>
    </w:rPr>
  </w:style>
  <w:style w:type="character" w:customStyle="1" w:styleId="48">
    <w:name w:val="批注文字 字符"/>
    <w:basedOn w:val="22"/>
    <w:link w:val="12"/>
    <w:qFormat/>
    <w:uiPriority w:val="0"/>
  </w:style>
  <w:style w:type="character" w:customStyle="1" w:styleId="49">
    <w:name w:val="批注主题 字符"/>
    <w:link w:val="19"/>
    <w:semiHidden/>
    <w:qFormat/>
    <w:uiPriority w:val="99"/>
    <w:rPr>
      <w:b/>
      <w:bCs/>
    </w:rPr>
  </w:style>
  <w:style w:type="paragraph" w:customStyle="1" w:styleId="50">
    <w:name w:val="B1"/>
    <w:basedOn w:val="17"/>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3"/>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character" w:customStyle="1" w:styleId="85">
    <w:name w:val="正文文本 字符"/>
    <w:basedOn w:val="22"/>
    <w:semiHidden/>
    <w:qFormat/>
    <w:uiPriority w:val="99"/>
    <w:rPr>
      <w:rFonts w:ascii="Times New Roman" w:hAnsi="Times New Roman"/>
      <w:sz w:val="24"/>
      <w:szCs w:val="24"/>
    </w:rPr>
  </w:style>
  <w:style w:type="character" w:customStyle="1" w:styleId="86">
    <w:name w:val="正文文本 字符1"/>
    <w:link w:val="13"/>
    <w:qFormat/>
    <w:uiPriority w:val="0"/>
    <w:rPr>
      <w:rFonts w:ascii="Times New Roman" w:hAnsi="Times New Roman" w:eastAsia="MS Mincho"/>
      <w:szCs w:val="24"/>
      <w:lang w:val="zh-CN" w:eastAsia="en-US"/>
    </w:rPr>
  </w:style>
  <w:style w:type="paragraph" w:customStyle="1" w:styleId="87">
    <w:name w:val="cjk"/>
    <w:basedOn w:val="1"/>
    <w:qFormat/>
    <w:uiPriority w:val="0"/>
    <w:pPr>
      <w:spacing w:before="100" w:beforeAutospacing="1" w:after="181"/>
    </w:pPr>
    <w:rPr>
      <w:rFonts w:eastAsia="Times New Roman"/>
      <w:sz w:val="24"/>
      <w:szCs w:val="24"/>
      <w:lang w:val="en-US" w:eastAsia="zh-CN"/>
    </w:rPr>
  </w:style>
  <w:style w:type="paragraph" w:customStyle="1" w:styleId="88">
    <w:name w:val="Agreement"/>
    <w:basedOn w:val="1"/>
    <w:next w:val="64"/>
    <w:qFormat/>
    <w:uiPriority w:val="99"/>
    <w:pPr>
      <w:numPr>
        <w:ilvl w:val="0"/>
        <w:numId w:val="3"/>
      </w:numPr>
      <w:spacing w:before="60"/>
    </w:pPr>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6</Pages>
  <Words>1804</Words>
  <Characters>10287</Characters>
  <Lines>85</Lines>
  <Paragraphs>24</Paragraphs>
  <TotalTime>0</TotalTime>
  <ScaleCrop>false</ScaleCrop>
  <LinksUpToDate>false</LinksUpToDate>
  <CharactersWithSpaces>12067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2024-11-08T07:51:28Z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F61112A40FB1461AA46DAAB2A278F284</vt:lpwstr>
  </property>
</Properties>
</file>